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1836FB" w:rsidTr="001836FB">
        <w:trPr>
          <w:tblCellSpacing w:w="0" w:type="dxa"/>
        </w:trPr>
        <w:tc>
          <w:tcPr>
            <w:tcW w:w="5301" w:type="dxa"/>
            <w:shd w:val="clear" w:color="auto" w:fill="auto"/>
            <w:hideMark/>
          </w:tcPr>
          <w:tbl>
            <w:tblPr>
              <w:tblW w:w="5000" w:type="pct"/>
              <w:jc w:val="center"/>
              <w:tblCellSpacing w:w="0" w:type="dxa"/>
              <w:shd w:val="clear" w:color="auto" w:fill="FFFFFF"/>
              <w:tblCellMar>
                <w:left w:w="0" w:type="dxa"/>
                <w:right w:w="0" w:type="dxa"/>
              </w:tblCellMar>
              <w:tblLook w:val="04A0"/>
            </w:tblPr>
            <w:tblGrid>
              <w:gridCol w:w="8306"/>
            </w:tblGrid>
            <w:tr w:rsidR="001836FB">
              <w:trPr>
                <w:tblCellSpacing w:w="0" w:type="dxa"/>
                <w:jc w:val="center"/>
              </w:trPr>
              <w:tc>
                <w:tcPr>
                  <w:tcW w:w="5301" w:type="dxa"/>
                  <w:shd w:val="clear" w:color="auto" w:fill="FFFFFF"/>
                  <w:hideMark/>
                </w:tcPr>
                <w:tbl>
                  <w:tblPr>
                    <w:tblW w:w="5000" w:type="pct"/>
                    <w:jc w:val="center"/>
                    <w:tblCellSpacing w:w="0" w:type="dxa"/>
                    <w:tblCellMar>
                      <w:left w:w="0" w:type="dxa"/>
                      <w:right w:w="0" w:type="dxa"/>
                    </w:tblCellMar>
                    <w:tblLook w:val="04A0"/>
                  </w:tblPr>
                  <w:tblGrid>
                    <w:gridCol w:w="8306"/>
                  </w:tblGrid>
                  <w:tr w:rsidR="001836FB">
                    <w:trPr>
                      <w:tblCellSpacing w:w="0" w:type="dxa"/>
                      <w:jc w:val="center"/>
                    </w:trPr>
                    <w:tc>
                      <w:tcPr>
                        <w:tcW w:w="0" w:type="auto"/>
                        <w:tcMar>
                          <w:top w:w="133" w:type="dxa"/>
                          <w:left w:w="0" w:type="dxa"/>
                          <w:bottom w:w="133" w:type="dxa"/>
                          <w:right w:w="0" w:type="dxa"/>
                        </w:tcMar>
                        <w:hideMark/>
                      </w:tcPr>
                      <w:tbl>
                        <w:tblPr>
                          <w:tblW w:w="1767" w:type="dxa"/>
                          <w:jc w:val="center"/>
                          <w:tblCellSpacing w:w="0" w:type="dxa"/>
                          <w:tblCellMar>
                            <w:left w:w="0" w:type="dxa"/>
                            <w:right w:w="0" w:type="dxa"/>
                          </w:tblCellMar>
                          <w:tblLook w:val="04A0"/>
                        </w:tblPr>
                        <w:tblGrid>
                          <w:gridCol w:w="3030"/>
                        </w:tblGrid>
                        <w:tr w:rsidR="001836FB">
                          <w:trPr>
                            <w:tblCellSpacing w:w="0" w:type="dxa"/>
                            <w:jc w:val="center"/>
                          </w:trPr>
                          <w:tc>
                            <w:tcPr>
                              <w:tcW w:w="1767" w:type="dxa"/>
                              <w:vAlign w:val="center"/>
                              <w:hideMark/>
                            </w:tcPr>
                            <w:p w:rsidR="001836FB" w:rsidRDefault="001836FB">
                              <w:pPr>
                                <w:jc w:val="center"/>
                                <w:rPr>
                                  <w:color w:val="000000"/>
                                </w:rPr>
                              </w:pPr>
                              <w:r>
                                <w:rPr>
                                  <w:noProof/>
                                  <w:color w:val="0000FF"/>
                                  <w:lang w:eastAsia="mk-MK"/>
                                </w:rPr>
                                <w:drawing>
                                  <wp:inline distT="0" distB="0" distL="0" distR="0">
                                    <wp:extent cx="1901825" cy="1268095"/>
                                    <wp:effectExtent l="19050" t="0" r="3175" b="0"/>
                                    <wp:docPr id="1" name="Picture 1" descr="https://mlsvc01-prod.s3.amazonaws.com/4f6971d8301/7cd0278c-96e5-4de1-9065-e161904fef56.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4f6971d8301/7cd0278c-96e5-4de1-9065-e161904fef56.jpg">
                                              <a:hlinkClick r:id="rId5" tgtFrame="&quot;_blank&quot;"/>
                                            </pic:cNvPr>
                                            <pic:cNvPicPr>
                                              <a:picLocks noChangeAspect="1" noChangeArrowheads="1"/>
                                            </pic:cNvPicPr>
                                          </pic:nvPicPr>
                                          <pic:blipFill>
                                            <a:blip r:embed="rId6"/>
                                            <a:srcRect/>
                                            <a:stretch>
                                              <a:fillRect/>
                                            </a:stretch>
                                          </pic:blipFill>
                                          <pic:spPr bwMode="auto">
                                            <a:xfrm>
                                              <a:off x="0" y="0"/>
                                              <a:ext cx="1901825" cy="1268095"/>
                                            </a:xfrm>
                                            <a:prstGeom prst="rect">
                                              <a:avLst/>
                                            </a:prstGeom>
                                            <a:noFill/>
                                            <a:ln w="9525">
                                              <a:noFill/>
                                              <a:miter lim="800000"/>
                                              <a:headEnd/>
                                              <a:tailEnd/>
                                            </a:ln>
                                          </pic:spPr>
                                        </pic:pic>
                                      </a:graphicData>
                                    </a:graphic>
                                  </wp:inline>
                                </w:drawing>
                              </w:r>
                            </w:p>
                          </w:tc>
                        </w:tr>
                      </w:tbl>
                      <w:p w:rsidR="001836FB" w:rsidRDefault="001836FB">
                        <w:pPr>
                          <w:jc w:val="center"/>
                          <w:rPr>
                            <w:color w:val="000000"/>
                          </w:rPr>
                        </w:pP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blCellSpacing w:w="0" w:type="dxa"/>
                      <w:jc w:val="center"/>
                    </w:trPr>
                    <w:tc>
                      <w:tcPr>
                        <w:tcW w:w="0" w:type="auto"/>
                        <w:tcMar>
                          <w:top w:w="71" w:type="dxa"/>
                          <w:left w:w="177" w:type="dxa"/>
                          <w:bottom w:w="80" w:type="dxa"/>
                          <w:right w:w="177" w:type="dxa"/>
                        </w:tcMar>
                        <w:hideMark/>
                      </w:tcPr>
                      <w:p w:rsidR="001836FB" w:rsidRDefault="001836FB">
                        <w:pPr>
                          <w:jc w:val="center"/>
                        </w:pPr>
                        <w:r>
                          <w:rPr>
                            <w:rFonts w:ascii="Verdana" w:hAnsi="Verdana"/>
                            <w:b/>
                            <w:bCs/>
                            <w:color w:val="0000A5"/>
                            <w:sz w:val="32"/>
                            <w:szCs w:val="32"/>
                          </w:rPr>
                          <w:t>Regional Conference"Western Balkan Accession Reforms"</w:t>
                        </w:r>
                        <w:r>
                          <w:rPr>
                            <w:rFonts w:ascii="Verdana" w:hAnsi="Verdana"/>
                            <w:b/>
                            <w:bCs/>
                            <w:color w:val="0000A5"/>
                            <w:sz w:val="32"/>
                            <w:szCs w:val="32"/>
                          </w:rPr>
                          <w:br/>
                          <w:t>27 November, Skopje 2015</w:t>
                        </w: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5301" w:type="dxa"/>
                        <w:hideMark/>
                      </w:tcPr>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0" w:type="auto"/>
                              <w:shd w:val="clear" w:color="auto" w:fill="0000A5"/>
                              <w:tcMar>
                                <w:top w:w="0" w:type="dxa"/>
                                <w:left w:w="0" w:type="dxa"/>
                                <w:bottom w:w="44" w:type="dxa"/>
                                <w:right w:w="0" w:type="dxa"/>
                              </w:tcMar>
                              <w:vAlign w:val="center"/>
                              <w:hideMark/>
                            </w:tcPr>
                            <w:p w:rsidR="001836FB" w:rsidRDefault="001836FB">
                              <w:pPr>
                                <w:spacing w:line="9" w:lineRule="atLeast"/>
                                <w:jc w:val="center"/>
                              </w:pPr>
                              <w:r>
                                <w:rPr>
                                  <w:noProof/>
                                  <w:shd w:val="clear" w:color="auto" w:fill="0000A5"/>
                                  <w:lang w:eastAsia="mk-MK"/>
                                </w:rPr>
                                <w:drawing>
                                  <wp:inline distT="0" distB="0" distL="0" distR="0">
                                    <wp:extent cx="45085" cy="5715"/>
                                    <wp:effectExtent l="0" t="0" r="0" b="0"/>
                                    <wp:docPr id="2" name="Picture 2"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1836FB" w:rsidRDefault="001836FB">
                        <w:pPr>
                          <w:spacing w:line="9" w:lineRule="atLeast"/>
                          <w:jc w:val="center"/>
                        </w:pP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5301" w:type="dxa"/>
                        <w:hideMark/>
                      </w:tcPr>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0" w:type="auto"/>
                              <w:shd w:val="clear" w:color="auto" w:fill="0000A5"/>
                              <w:tcMar>
                                <w:top w:w="0" w:type="dxa"/>
                                <w:left w:w="0" w:type="dxa"/>
                                <w:bottom w:w="44" w:type="dxa"/>
                                <w:right w:w="0" w:type="dxa"/>
                              </w:tcMar>
                              <w:vAlign w:val="center"/>
                              <w:hideMark/>
                            </w:tcPr>
                            <w:p w:rsidR="001836FB" w:rsidRDefault="001836FB">
                              <w:pPr>
                                <w:spacing w:line="9" w:lineRule="atLeast"/>
                                <w:jc w:val="center"/>
                              </w:pPr>
                              <w:r>
                                <w:rPr>
                                  <w:noProof/>
                                  <w:shd w:val="clear" w:color="auto" w:fill="0000A5"/>
                                  <w:lang w:eastAsia="mk-MK"/>
                                </w:rPr>
                                <w:drawing>
                                  <wp:inline distT="0" distB="0" distL="0" distR="0">
                                    <wp:extent cx="45085" cy="5715"/>
                                    <wp:effectExtent l="0" t="0" r="0" b="0"/>
                                    <wp:docPr id="3" name="Picture 3"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1836FB" w:rsidRDefault="001836FB">
                        <w:pPr>
                          <w:spacing w:line="9" w:lineRule="atLeast"/>
                          <w:jc w:val="center"/>
                        </w:pP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0" w:type="auto"/>
                        <w:tcMar>
                          <w:top w:w="0" w:type="dxa"/>
                          <w:left w:w="0" w:type="dxa"/>
                          <w:bottom w:w="80" w:type="dxa"/>
                          <w:right w:w="0" w:type="dxa"/>
                        </w:tcMar>
                        <w:vAlign w:val="center"/>
                        <w:hideMark/>
                      </w:tcPr>
                      <w:p w:rsidR="001836FB" w:rsidRDefault="001836FB">
                        <w:pPr>
                          <w:spacing w:line="9" w:lineRule="atLeast"/>
                          <w:jc w:val="center"/>
                        </w:pPr>
                        <w:r>
                          <w:rPr>
                            <w:noProof/>
                            <w:lang w:eastAsia="mk-MK"/>
                          </w:rPr>
                          <w:drawing>
                            <wp:inline distT="0" distB="0" distL="0" distR="0">
                              <wp:extent cx="45085" cy="5715"/>
                              <wp:effectExtent l="0" t="0" r="0" b="0"/>
                              <wp:docPr id="4" name="Picture 4"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blCellSpacing w:w="0" w:type="dxa"/>
                      <w:jc w:val="center"/>
                    </w:trPr>
                    <w:tc>
                      <w:tcPr>
                        <w:tcW w:w="0" w:type="auto"/>
                        <w:hideMark/>
                      </w:tcPr>
                      <w:tbl>
                        <w:tblPr>
                          <w:tblW w:w="4771" w:type="dxa"/>
                          <w:jc w:val="center"/>
                          <w:tblCellSpacing w:w="0" w:type="dxa"/>
                          <w:tblCellMar>
                            <w:left w:w="0" w:type="dxa"/>
                            <w:right w:w="0" w:type="dxa"/>
                          </w:tblCellMar>
                          <w:tblLook w:val="04A0"/>
                        </w:tblPr>
                        <w:tblGrid>
                          <w:gridCol w:w="8131"/>
                        </w:tblGrid>
                        <w:tr w:rsidR="001836FB">
                          <w:trPr>
                            <w:tblCellSpacing w:w="0" w:type="dxa"/>
                            <w:jc w:val="center"/>
                          </w:trPr>
                          <w:tc>
                            <w:tcPr>
                              <w:tcW w:w="4771" w:type="dxa"/>
                              <w:vAlign w:val="center"/>
                              <w:hideMark/>
                            </w:tcPr>
                            <w:p w:rsidR="001836FB" w:rsidRDefault="001836FB">
                              <w:pPr>
                                <w:jc w:val="center"/>
                                <w:rPr>
                                  <w:color w:val="666666"/>
                                </w:rPr>
                              </w:pPr>
                              <w:r>
                                <w:rPr>
                                  <w:noProof/>
                                  <w:color w:val="666666"/>
                                  <w:lang w:eastAsia="mk-MK"/>
                                </w:rPr>
                                <w:drawing>
                                  <wp:inline distT="0" distB="0" distL="0" distR="0">
                                    <wp:extent cx="5144135" cy="3399790"/>
                                    <wp:effectExtent l="19050" t="0" r="0" b="0"/>
                                    <wp:docPr id="5" name="Picture 5" descr="https://mlsvc01-prod.s3.amazonaws.com/4f6971d8301/6a0ecd43-8ea6-44de-a9a4-3ba44c2357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lsvc01-prod.s3.amazonaws.com/4f6971d8301/6a0ecd43-8ea6-44de-a9a4-3ba44c2357ae.jpg"/>
                                            <pic:cNvPicPr>
                                              <a:picLocks noChangeAspect="1" noChangeArrowheads="1"/>
                                            </pic:cNvPicPr>
                                          </pic:nvPicPr>
                                          <pic:blipFill>
                                            <a:blip r:embed="rId8"/>
                                            <a:srcRect/>
                                            <a:stretch>
                                              <a:fillRect/>
                                            </a:stretch>
                                          </pic:blipFill>
                                          <pic:spPr bwMode="auto">
                                            <a:xfrm>
                                              <a:off x="0" y="0"/>
                                              <a:ext cx="5144135" cy="3399790"/>
                                            </a:xfrm>
                                            <a:prstGeom prst="rect">
                                              <a:avLst/>
                                            </a:prstGeom>
                                            <a:noFill/>
                                            <a:ln w="9525">
                                              <a:noFill/>
                                              <a:miter lim="800000"/>
                                              <a:headEnd/>
                                              <a:tailEnd/>
                                            </a:ln>
                                          </pic:spPr>
                                        </pic:pic>
                                      </a:graphicData>
                                    </a:graphic>
                                  </wp:inline>
                                </w:drawing>
                              </w:r>
                            </w:p>
                          </w:tc>
                        </w:tr>
                      </w:tbl>
                      <w:p w:rsidR="001836FB" w:rsidRDefault="001836FB">
                        <w:pPr>
                          <w:jc w:val="center"/>
                          <w:rPr>
                            <w:rFonts w:ascii="Verdana" w:hAnsi="Verdana"/>
                            <w:color w:val="666666"/>
                            <w:sz w:val="22"/>
                            <w:szCs w:val="22"/>
                          </w:rPr>
                        </w:pP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blCellSpacing w:w="0" w:type="dxa"/>
                      <w:jc w:val="center"/>
                    </w:trPr>
                    <w:tc>
                      <w:tcPr>
                        <w:tcW w:w="0" w:type="auto"/>
                        <w:tcMar>
                          <w:top w:w="71" w:type="dxa"/>
                          <w:left w:w="177" w:type="dxa"/>
                          <w:bottom w:w="80" w:type="dxa"/>
                          <w:right w:w="177" w:type="dxa"/>
                        </w:tcMar>
                        <w:hideMark/>
                      </w:tcPr>
                      <w:p w:rsidR="001836FB" w:rsidRDefault="001836FB" w:rsidP="001836FB">
                        <w:pPr>
                          <w:jc w:val="center"/>
                          <w:rPr>
                            <w:rFonts w:ascii="Verdana" w:hAnsi="Verdana"/>
                            <w:color w:val="666666"/>
                          </w:rPr>
                        </w:pPr>
                      </w:p>
                      <w:p w:rsidR="001836FB" w:rsidRDefault="001836FB" w:rsidP="001836FB">
                        <w:pPr>
                          <w:jc w:val="both"/>
                          <w:rPr>
                            <w:rFonts w:ascii="Verdana" w:hAnsi="Verdana"/>
                            <w:color w:val="666666"/>
                          </w:rPr>
                        </w:pPr>
                        <w:r>
                          <w:rPr>
                            <w:rFonts w:ascii="Arial" w:hAnsi="Arial" w:cs="Arial"/>
                            <w:color w:val="666666"/>
                            <w:sz w:val="20"/>
                            <w:szCs w:val="20"/>
                          </w:rPr>
                          <w:t>The Secretariat for European Affairs in cooperation with the German Agency for International Cooperation- GIZ within the Open Regional Fund for EU integrations support, financed by the Federal Ministry for Economic Development and Cooperation organised Regi</w:t>
                        </w:r>
                        <w:r w:rsidR="00242948">
                          <w:rPr>
                            <w:rFonts w:ascii="Arial" w:hAnsi="Arial" w:cs="Arial"/>
                            <w:color w:val="666666"/>
                            <w:sz w:val="20"/>
                            <w:szCs w:val="20"/>
                          </w:rPr>
                          <w:t>onal Conference "Western Balkan</w:t>
                        </w:r>
                        <w:r>
                          <w:rPr>
                            <w:rFonts w:ascii="Arial" w:hAnsi="Arial" w:cs="Arial"/>
                            <w:color w:val="666666"/>
                            <w:sz w:val="20"/>
                            <w:szCs w:val="20"/>
                          </w:rPr>
                          <w:t xml:space="preserve"> Accession Reforms" (WBAR).</w:t>
                        </w:r>
                      </w:p>
                      <w:p w:rsidR="001836FB" w:rsidRDefault="001836FB" w:rsidP="001836FB">
                        <w:pPr>
                          <w:jc w:val="both"/>
                          <w:rPr>
                            <w:rFonts w:ascii="Verdana" w:hAnsi="Verdana"/>
                            <w:color w:val="666666"/>
                          </w:rPr>
                        </w:pPr>
                        <w:r>
                          <w:rPr>
                            <w:rFonts w:ascii="Arial" w:hAnsi="Arial" w:cs="Arial"/>
                            <w:color w:val="666666"/>
                            <w:sz w:val="20"/>
                            <w:szCs w:val="20"/>
                          </w:rPr>
                          <w:t>The Regional Conference supported by the European Commission stressed the importance of the reform process in the Region.</w:t>
                        </w:r>
                      </w:p>
                      <w:p w:rsidR="001836FB" w:rsidRDefault="001836FB" w:rsidP="001836FB">
                        <w:pPr>
                          <w:jc w:val="both"/>
                          <w:rPr>
                            <w:rFonts w:ascii="Verdana" w:hAnsi="Verdana"/>
                            <w:color w:val="666666"/>
                          </w:rPr>
                        </w:pPr>
                        <w:r>
                          <w:rPr>
                            <w:rFonts w:ascii="Arial" w:hAnsi="Arial" w:cs="Arial"/>
                            <w:color w:val="666666"/>
                            <w:sz w:val="20"/>
                            <w:szCs w:val="20"/>
                          </w:rPr>
                          <w:t>Deputy Prime Minister Fatmir Besimi, the Chief of European Union Delegation in Skopje, H.E. Aivo Orav and the Deputy Ambassador of FR Germany, Mr. Sander had opening remarks at the Conference.</w:t>
                        </w:r>
                      </w:p>
                      <w:p w:rsidR="001836FB" w:rsidRDefault="001836FB" w:rsidP="001836FB">
                        <w:pPr>
                          <w:jc w:val="both"/>
                          <w:rPr>
                            <w:rFonts w:ascii="Verdana" w:hAnsi="Verdana"/>
                            <w:color w:val="666666"/>
                          </w:rPr>
                        </w:pPr>
                        <w:r>
                          <w:rPr>
                            <w:rFonts w:ascii="Arial" w:hAnsi="Arial" w:cs="Arial"/>
                            <w:color w:val="666666"/>
                            <w:sz w:val="20"/>
                            <w:szCs w:val="20"/>
                          </w:rPr>
                          <w:t>Representatives and teams of experts from the region, the European Commission, EU ambassadors in the country, representatives of the Ministry of Foreign Affairs, the National Assembly and representatives of the Secretariat for European Affairs participated at the Conference.</w:t>
                        </w:r>
                      </w:p>
                      <w:p w:rsidR="001836FB" w:rsidRDefault="001836FB" w:rsidP="001836FB">
                        <w:pPr>
                          <w:jc w:val="both"/>
                          <w:rPr>
                            <w:rFonts w:ascii="Verdana" w:hAnsi="Verdana"/>
                            <w:color w:val="666666"/>
                          </w:rPr>
                        </w:pPr>
                        <w:r>
                          <w:rPr>
                            <w:rFonts w:ascii="Arial" w:hAnsi="Arial" w:cs="Arial"/>
                            <w:color w:val="666666"/>
                            <w:sz w:val="20"/>
                            <w:szCs w:val="20"/>
                          </w:rPr>
                          <w:t>The discussions focused on the new Enlargement Strategy and on the European Commission progress reports for this year, as well as the new recalibrated methodology for their preparation.</w:t>
                        </w:r>
                      </w:p>
                      <w:p w:rsidR="001836FB" w:rsidRDefault="001836FB" w:rsidP="001836FB">
                        <w:pPr>
                          <w:jc w:val="both"/>
                          <w:rPr>
                            <w:rFonts w:ascii="Verdana" w:hAnsi="Verdana"/>
                            <w:color w:val="666666"/>
                          </w:rPr>
                        </w:pPr>
                      </w:p>
                      <w:p w:rsidR="001836FB" w:rsidRDefault="00432B34" w:rsidP="001836FB">
                        <w:pPr>
                          <w:jc w:val="center"/>
                          <w:rPr>
                            <w:rFonts w:ascii="Verdana" w:hAnsi="Verdana"/>
                            <w:color w:val="666666"/>
                          </w:rPr>
                        </w:pPr>
                        <w:hyperlink r:id="rId9" w:tgtFrame="_blank" w:history="1">
                          <w:r w:rsidR="001836FB">
                            <w:rPr>
                              <w:rStyle w:val="Hyperlink"/>
                              <w:rFonts w:ascii="Verdana" w:hAnsi="Verdana"/>
                              <w:sz w:val="20"/>
                              <w:szCs w:val="20"/>
                            </w:rPr>
                            <w:t>AGENDA</w:t>
                          </w:r>
                        </w:hyperlink>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5301" w:type="dxa"/>
                        <w:hideMark/>
                      </w:tcPr>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0" w:type="auto"/>
                              <w:shd w:val="clear" w:color="auto" w:fill="0000A5"/>
                              <w:tcMar>
                                <w:top w:w="0" w:type="dxa"/>
                                <w:left w:w="0" w:type="dxa"/>
                                <w:bottom w:w="44" w:type="dxa"/>
                                <w:right w:w="0" w:type="dxa"/>
                              </w:tcMar>
                              <w:vAlign w:val="center"/>
                              <w:hideMark/>
                            </w:tcPr>
                            <w:p w:rsidR="001836FB" w:rsidRDefault="001836FB">
                              <w:pPr>
                                <w:spacing w:line="9" w:lineRule="atLeast"/>
                                <w:jc w:val="center"/>
                              </w:pPr>
                              <w:r>
                                <w:rPr>
                                  <w:noProof/>
                                  <w:shd w:val="clear" w:color="auto" w:fill="0000A5"/>
                                  <w:lang w:eastAsia="mk-MK"/>
                                </w:rPr>
                                <w:drawing>
                                  <wp:inline distT="0" distB="0" distL="0" distR="0">
                                    <wp:extent cx="45085" cy="5715"/>
                                    <wp:effectExtent l="0" t="0" r="0" b="0"/>
                                    <wp:docPr id="6" name="Picture 6"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1836FB" w:rsidRDefault="001836FB">
                        <w:pPr>
                          <w:spacing w:line="9" w:lineRule="atLeast"/>
                          <w:jc w:val="center"/>
                        </w:pP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blCellSpacing w:w="0" w:type="dxa"/>
                      <w:jc w:val="center"/>
                    </w:trPr>
                    <w:tc>
                      <w:tcPr>
                        <w:tcW w:w="0" w:type="auto"/>
                        <w:tcMar>
                          <w:top w:w="71" w:type="dxa"/>
                          <w:left w:w="0" w:type="dxa"/>
                          <w:bottom w:w="80" w:type="dxa"/>
                          <w:right w:w="0" w:type="dxa"/>
                        </w:tcMar>
                        <w:hideMark/>
                      </w:tcPr>
                      <w:tbl>
                        <w:tblPr>
                          <w:tblW w:w="5000" w:type="pct"/>
                          <w:tblCellSpacing w:w="0" w:type="dxa"/>
                          <w:tblCellMar>
                            <w:left w:w="0" w:type="dxa"/>
                            <w:right w:w="0" w:type="dxa"/>
                          </w:tblCellMar>
                          <w:tblLook w:val="04A0"/>
                        </w:tblPr>
                        <w:tblGrid>
                          <w:gridCol w:w="4153"/>
                          <w:gridCol w:w="4153"/>
                        </w:tblGrid>
                        <w:tr w:rsidR="001836FB">
                          <w:trPr>
                            <w:tblCellSpacing w:w="0" w:type="dxa"/>
                          </w:trPr>
                          <w:tc>
                            <w:tcPr>
                              <w:tcW w:w="2650" w:type="dxa"/>
                              <w:hideMark/>
                            </w:tcPr>
                            <w:tbl>
                              <w:tblPr>
                                <w:tblW w:w="5000" w:type="pct"/>
                                <w:tblCellSpacing w:w="0" w:type="dxa"/>
                                <w:tblCellMar>
                                  <w:left w:w="0" w:type="dxa"/>
                                  <w:right w:w="0" w:type="dxa"/>
                                </w:tblCellMar>
                                <w:tblLook w:val="04A0"/>
                              </w:tblPr>
                              <w:tblGrid>
                                <w:gridCol w:w="4153"/>
                              </w:tblGrid>
                              <w:tr w:rsidR="001836FB" w:rsidTr="001836FB">
                                <w:trPr>
                                  <w:tblCellSpacing w:w="0" w:type="dxa"/>
                                </w:trPr>
                                <w:tc>
                                  <w:tcPr>
                                    <w:tcW w:w="0" w:type="auto"/>
                                    <w:hideMark/>
                                  </w:tcPr>
                                  <w:tbl>
                                    <w:tblPr>
                                      <w:tblW w:w="2368" w:type="dxa"/>
                                      <w:jc w:val="center"/>
                                      <w:tblCellSpacing w:w="0" w:type="dxa"/>
                                      <w:tblCellMar>
                                        <w:left w:w="0" w:type="dxa"/>
                                        <w:right w:w="0" w:type="dxa"/>
                                      </w:tblCellMar>
                                      <w:tblLook w:val="04A0"/>
                                    </w:tblPr>
                                    <w:tblGrid>
                                      <w:gridCol w:w="4050"/>
                                    </w:tblGrid>
                                    <w:tr w:rsidR="001836FB">
                                      <w:trPr>
                                        <w:tblCellSpacing w:w="0" w:type="dxa"/>
                                        <w:jc w:val="center"/>
                                      </w:trPr>
                                      <w:tc>
                                        <w:tcPr>
                                          <w:tcW w:w="2368" w:type="dxa"/>
                                          <w:vAlign w:val="center"/>
                                          <w:hideMark/>
                                        </w:tcPr>
                                        <w:p w:rsidR="001836FB" w:rsidRDefault="001836FB">
                                          <w:pPr>
                                            <w:jc w:val="center"/>
                                            <w:rPr>
                                              <w:color w:val="666666"/>
                                            </w:rPr>
                                          </w:pPr>
                                          <w:r>
                                            <w:rPr>
                                              <w:noProof/>
                                              <w:color w:val="666666"/>
                                              <w:lang w:eastAsia="mk-MK"/>
                                            </w:rPr>
                                            <w:lastRenderedPageBreak/>
                                            <w:drawing>
                                              <wp:inline distT="0" distB="0" distL="0" distR="0">
                                                <wp:extent cx="2552700" cy="1688465"/>
                                                <wp:effectExtent l="19050" t="0" r="0" b="0"/>
                                                <wp:docPr id="7" name="Picture 7" descr="https://mlsvc01-prod.s3.amazonaws.com/4f6971d8301/904bd10e-4ec2-4571-86e1-56bd4db941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lsvc01-prod.s3.amazonaws.com/4f6971d8301/904bd10e-4ec2-4571-86e1-56bd4db9411d.jpg"/>
                                                        <pic:cNvPicPr>
                                                          <a:picLocks noChangeAspect="1" noChangeArrowheads="1"/>
                                                        </pic:cNvPicPr>
                                                      </pic:nvPicPr>
                                                      <pic:blipFill>
                                                        <a:blip r:embed="rId10" cstate="print"/>
                                                        <a:srcRect/>
                                                        <a:stretch>
                                                          <a:fillRect/>
                                                        </a:stretch>
                                                      </pic:blipFill>
                                                      <pic:spPr bwMode="auto">
                                                        <a:xfrm>
                                                          <a:off x="0" y="0"/>
                                                          <a:ext cx="2552700" cy="1688465"/>
                                                        </a:xfrm>
                                                        <a:prstGeom prst="rect">
                                                          <a:avLst/>
                                                        </a:prstGeom>
                                                        <a:noFill/>
                                                        <a:ln w="9525">
                                                          <a:noFill/>
                                                          <a:miter lim="800000"/>
                                                          <a:headEnd/>
                                                          <a:tailEnd/>
                                                        </a:ln>
                                                      </pic:spPr>
                                                    </pic:pic>
                                                  </a:graphicData>
                                                </a:graphic>
                                              </wp:inline>
                                            </w:drawing>
                                          </w:r>
                                        </w:p>
                                      </w:tc>
                                    </w:tr>
                                  </w:tbl>
                                  <w:p w:rsidR="001836FB" w:rsidRDefault="001836FB">
                                    <w:pPr>
                                      <w:jc w:val="center"/>
                                      <w:rPr>
                                        <w:rFonts w:ascii="Verdana" w:hAnsi="Verdana"/>
                                        <w:color w:val="666666"/>
                                        <w:sz w:val="22"/>
                                        <w:szCs w:val="22"/>
                                      </w:rPr>
                                    </w:pPr>
                                  </w:p>
                                </w:tc>
                              </w:tr>
                            </w:tbl>
                            <w:p w:rsidR="001836FB" w:rsidRDefault="001836FB">
                              <w:pPr>
                                <w:jc w:val="both"/>
                              </w:pPr>
                            </w:p>
                          </w:tc>
                          <w:tc>
                            <w:tcPr>
                              <w:tcW w:w="2650" w:type="dxa"/>
                              <w:hideMark/>
                            </w:tcPr>
                            <w:tbl>
                              <w:tblPr>
                                <w:tblW w:w="5000" w:type="pct"/>
                                <w:tblCellSpacing w:w="0" w:type="dxa"/>
                                <w:tblCellMar>
                                  <w:left w:w="0" w:type="dxa"/>
                                  <w:right w:w="0" w:type="dxa"/>
                                </w:tblCellMar>
                                <w:tblLook w:val="04A0"/>
                              </w:tblPr>
                              <w:tblGrid>
                                <w:gridCol w:w="4153"/>
                              </w:tblGrid>
                              <w:tr w:rsidR="001836FB" w:rsidTr="001836FB">
                                <w:trPr>
                                  <w:tblCellSpacing w:w="0" w:type="dxa"/>
                                </w:trPr>
                                <w:tc>
                                  <w:tcPr>
                                    <w:tcW w:w="0" w:type="auto"/>
                                    <w:hideMark/>
                                  </w:tcPr>
                                  <w:tbl>
                                    <w:tblPr>
                                      <w:tblW w:w="2368" w:type="dxa"/>
                                      <w:jc w:val="center"/>
                                      <w:tblCellSpacing w:w="0" w:type="dxa"/>
                                      <w:tblCellMar>
                                        <w:left w:w="0" w:type="dxa"/>
                                        <w:right w:w="0" w:type="dxa"/>
                                      </w:tblCellMar>
                                      <w:tblLook w:val="04A0"/>
                                    </w:tblPr>
                                    <w:tblGrid>
                                      <w:gridCol w:w="4050"/>
                                    </w:tblGrid>
                                    <w:tr w:rsidR="001836FB">
                                      <w:trPr>
                                        <w:tblCellSpacing w:w="0" w:type="dxa"/>
                                        <w:jc w:val="center"/>
                                      </w:trPr>
                                      <w:tc>
                                        <w:tcPr>
                                          <w:tcW w:w="2368" w:type="dxa"/>
                                          <w:vAlign w:val="center"/>
                                          <w:hideMark/>
                                        </w:tcPr>
                                        <w:p w:rsidR="001836FB" w:rsidRDefault="001836FB">
                                          <w:pPr>
                                            <w:jc w:val="center"/>
                                            <w:rPr>
                                              <w:color w:val="666666"/>
                                            </w:rPr>
                                          </w:pPr>
                                          <w:r>
                                            <w:rPr>
                                              <w:noProof/>
                                              <w:color w:val="666666"/>
                                              <w:lang w:eastAsia="mk-MK"/>
                                            </w:rPr>
                                            <w:drawing>
                                              <wp:inline distT="0" distB="0" distL="0" distR="0">
                                                <wp:extent cx="2552700" cy="1688465"/>
                                                <wp:effectExtent l="19050" t="0" r="0" b="0"/>
                                                <wp:docPr id="8" name="Picture 8" descr="https://mlsvc01-prod.s3.amazonaws.com/4f6971d8301/8fd819eb-4535-40dc-ac75-9eab055fb4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lsvc01-prod.s3.amazonaws.com/4f6971d8301/8fd819eb-4535-40dc-ac75-9eab055fb44d.jpg"/>
                                                        <pic:cNvPicPr>
                                                          <a:picLocks noChangeAspect="1" noChangeArrowheads="1"/>
                                                        </pic:cNvPicPr>
                                                      </pic:nvPicPr>
                                                      <pic:blipFill>
                                                        <a:blip r:embed="rId11" cstate="print"/>
                                                        <a:srcRect/>
                                                        <a:stretch>
                                                          <a:fillRect/>
                                                        </a:stretch>
                                                      </pic:blipFill>
                                                      <pic:spPr bwMode="auto">
                                                        <a:xfrm>
                                                          <a:off x="0" y="0"/>
                                                          <a:ext cx="2552700" cy="1688465"/>
                                                        </a:xfrm>
                                                        <a:prstGeom prst="rect">
                                                          <a:avLst/>
                                                        </a:prstGeom>
                                                        <a:noFill/>
                                                        <a:ln w="9525">
                                                          <a:noFill/>
                                                          <a:miter lim="800000"/>
                                                          <a:headEnd/>
                                                          <a:tailEnd/>
                                                        </a:ln>
                                                      </pic:spPr>
                                                    </pic:pic>
                                                  </a:graphicData>
                                                </a:graphic>
                                              </wp:inline>
                                            </w:drawing>
                                          </w:r>
                                        </w:p>
                                      </w:tc>
                                    </w:tr>
                                  </w:tbl>
                                  <w:p w:rsidR="001836FB" w:rsidRDefault="001836FB">
                                    <w:pPr>
                                      <w:jc w:val="center"/>
                                      <w:rPr>
                                        <w:rFonts w:ascii="Verdana" w:hAnsi="Verdana"/>
                                        <w:color w:val="666666"/>
                                        <w:sz w:val="22"/>
                                        <w:szCs w:val="22"/>
                                      </w:rPr>
                                    </w:pPr>
                                  </w:p>
                                </w:tc>
                              </w:tr>
                            </w:tbl>
                            <w:p w:rsidR="001836FB" w:rsidRDefault="001836FB">
                              <w:pPr>
                                <w:jc w:val="both"/>
                              </w:pPr>
                            </w:p>
                          </w:tc>
                        </w:tr>
                      </w:tbl>
                      <w:p w:rsidR="001836FB" w:rsidRDefault="001836FB">
                        <w:pPr>
                          <w:jc w:val="both"/>
                          <w:rPr>
                            <w:rFonts w:ascii="Verdana" w:hAnsi="Verdana"/>
                            <w:color w:val="666666"/>
                            <w:sz w:val="22"/>
                            <w:szCs w:val="22"/>
                          </w:rPr>
                        </w:pP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blCellSpacing w:w="0" w:type="dxa"/>
                      <w:jc w:val="center"/>
                    </w:trPr>
                    <w:tc>
                      <w:tcPr>
                        <w:tcW w:w="0" w:type="auto"/>
                        <w:tcMar>
                          <w:top w:w="71" w:type="dxa"/>
                          <w:left w:w="0" w:type="dxa"/>
                          <w:bottom w:w="80" w:type="dxa"/>
                          <w:right w:w="0" w:type="dxa"/>
                        </w:tcMar>
                        <w:hideMark/>
                      </w:tcPr>
                      <w:tbl>
                        <w:tblPr>
                          <w:tblW w:w="5000" w:type="pct"/>
                          <w:tblCellSpacing w:w="0" w:type="dxa"/>
                          <w:tblCellMar>
                            <w:left w:w="0" w:type="dxa"/>
                            <w:right w:w="0" w:type="dxa"/>
                          </w:tblCellMar>
                          <w:tblLook w:val="04A0"/>
                        </w:tblPr>
                        <w:tblGrid>
                          <w:gridCol w:w="4153"/>
                          <w:gridCol w:w="4153"/>
                        </w:tblGrid>
                        <w:tr w:rsidR="001836FB">
                          <w:trPr>
                            <w:tblCellSpacing w:w="0" w:type="dxa"/>
                          </w:trPr>
                          <w:tc>
                            <w:tcPr>
                              <w:tcW w:w="2650" w:type="dxa"/>
                              <w:hideMark/>
                            </w:tcPr>
                            <w:tbl>
                              <w:tblPr>
                                <w:tblW w:w="5000" w:type="pct"/>
                                <w:tblCellSpacing w:w="0" w:type="dxa"/>
                                <w:tblCellMar>
                                  <w:left w:w="0" w:type="dxa"/>
                                  <w:right w:w="0" w:type="dxa"/>
                                </w:tblCellMar>
                                <w:tblLook w:val="04A0"/>
                              </w:tblPr>
                              <w:tblGrid>
                                <w:gridCol w:w="4153"/>
                              </w:tblGrid>
                              <w:tr w:rsidR="001836FB" w:rsidTr="001836FB">
                                <w:trPr>
                                  <w:tblCellSpacing w:w="0" w:type="dxa"/>
                                </w:trPr>
                                <w:tc>
                                  <w:tcPr>
                                    <w:tcW w:w="0" w:type="auto"/>
                                    <w:hideMark/>
                                  </w:tcPr>
                                  <w:tbl>
                                    <w:tblPr>
                                      <w:tblW w:w="2350" w:type="dxa"/>
                                      <w:jc w:val="center"/>
                                      <w:tblCellSpacing w:w="0" w:type="dxa"/>
                                      <w:tblCellMar>
                                        <w:left w:w="0" w:type="dxa"/>
                                        <w:right w:w="0" w:type="dxa"/>
                                      </w:tblCellMar>
                                      <w:tblLook w:val="04A0"/>
                                    </w:tblPr>
                                    <w:tblGrid>
                                      <w:gridCol w:w="4023"/>
                                    </w:tblGrid>
                                    <w:tr w:rsidR="001836FB">
                                      <w:trPr>
                                        <w:tblCellSpacing w:w="0" w:type="dxa"/>
                                        <w:jc w:val="center"/>
                                      </w:trPr>
                                      <w:tc>
                                        <w:tcPr>
                                          <w:tcW w:w="2350" w:type="dxa"/>
                                          <w:vAlign w:val="center"/>
                                          <w:hideMark/>
                                        </w:tcPr>
                                        <w:p w:rsidR="001836FB" w:rsidRDefault="001836FB">
                                          <w:pPr>
                                            <w:jc w:val="center"/>
                                            <w:rPr>
                                              <w:color w:val="666666"/>
                                            </w:rPr>
                                          </w:pPr>
                                          <w:r>
                                            <w:rPr>
                                              <w:noProof/>
                                              <w:color w:val="666666"/>
                                              <w:lang w:eastAsia="mk-MK"/>
                                            </w:rPr>
                                            <w:drawing>
                                              <wp:inline distT="0" distB="0" distL="0" distR="0">
                                                <wp:extent cx="2535555" cy="1677035"/>
                                                <wp:effectExtent l="19050" t="0" r="0" b="0"/>
                                                <wp:docPr id="9" name="Picture 9" descr="https://mlsvc01-prod.s3.amazonaws.com/4f6971d8301/33e9511f-8b8a-4c72-aa04-05379c741a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lsvc01-prod.s3.amazonaws.com/4f6971d8301/33e9511f-8b8a-4c72-aa04-05379c741a46.jpg"/>
                                                        <pic:cNvPicPr>
                                                          <a:picLocks noChangeAspect="1" noChangeArrowheads="1"/>
                                                        </pic:cNvPicPr>
                                                      </pic:nvPicPr>
                                                      <pic:blipFill>
                                                        <a:blip r:embed="rId12" cstate="print"/>
                                                        <a:srcRect/>
                                                        <a:stretch>
                                                          <a:fillRect/>
                                                        </a:stretch>
                                                      </pic:blipFill>
                                                      <pic:spPr bwMode="auto">
                                                        <a:xfrm>
                                                          <a:off x="0" y="0"/>
                                                          <a:ext cx="2535555" cy="1677035"/>
                                                        </a:xfrm>
                                                        <a:prstGeom prst="rect">
                                                          <a:avLst/>
                                                        </a:prstGeom>
                                                        <a:noFill/>
                                                        <a:ln w="9525">
                                                          <a:noFill/>
                                                          <a:miter lim="800000"/>
                                                          <a:headEnd/>
                                                          <a:tailEnd/>
                                                        </a:ln>
                                                      </pic:spPr>
                                                    </pic:pic>
                                                  </a:graphicData>
                                                </a:graphic>
                                              </wp:inline>
                                            </w:drawing>
                                          </w:r>
                                        </w:p>
                                      </w:tc>
                                    </w:tr>
                                  </w:tbl>
                                  <w:p w:rsidR="001836FB" w:rsidRDefault="001836FB">
                                    <w:pPr>
                                      <w:jc w:val="center"/>
                                      <w:rPr>
                                        <w:rFonts w:ascii="Verdana" w:hAnsi="Verdana"/>
                                        <w:color w:val="666666"/>
                                        <w:sz w:val="22"/>
                                        <w:szCs w:val="22"/>
                                      </w:rPr>
                                    </w:pPr>
                                  </w:p>
                                </w:tc>
                              </w:tr>
                            </w:tbl>
                            <w:p w:rsidR="001836FB" w:rsidRDefault="001836FB">
                              <w:pPr>
                                <w:jc w:val="both"/>
                              </w:pPr>
                            </w:p>
                          </w:tc>
                          <w:tc>
                            <w:tcPr>
                              <w:tcW w:w="2650" w:type="dxa"/>
                              <w:hideMark/>
                            </w:tcPr>
                            <w:tbl>
                              <w:tblPr>
                                <w:tblW w:w="5000" w:type="pct"/>
                                <w:tblCellSpacing w:w="0" w:type="dxa"/>
                                <w:tblCellMar>
                                  <w:left w:w="0" w:type="dxa"/>
                                  <w:right w:w="0" w:type="dxa"/>
                                </w:tblCellMar>
                                <w:tblLook w:val="04A0"/>
                              </w:tblPr>
                              <w:tblGrid>
                                <w:gridCol w:w="4153"/>
                              </w:tblGrid>
                              <w:tr w:rsidR="001836FB" w:rsidTr="001836FB">
                                <w:trPr>
                                  <w:tblCellSpacing w:w="0" w:type="dxa"/>
                                </w:trPr>
                                <w:tc>
                                  <w:tcPr>
                                    <w:tcW w:w="0" w:type="auto"/>
                                    <w:hideMark/>
                                  </w:tcPr>
                                  <w:tbl>
                                    <w:tblPr>
                                      <w:tblW w:w="2350" w:type="dxa"/>
                                      <w:jc w:val="center"/>
                                      <w:tblCellSpacing w:w="0" w:type="dxa"/>
                                      <w:tblCellMar>
                                        <w:left w:w="0" w:type="dxa"/>
                                        <w:right w:w="0" w:type="dxa"/>
                                      </w:tblCellMar>
                                      <w:tblLook w:val="04A0"/>
                                    </w:tblPr>
                                    <w:tblGrid>
                                      <w:gridCol w:w="4023"/>
                                    </w:tblGrid>
                                    <w:tr w:rsidR="001836FB">
                                      <w:trPr>
                                        <w:tblCellSpacing w:w="0" w:type="dxa"/>
                                        <w:jc w:val="center"/>
                                      </w:trPr>
                                      <w:tc>
                                        <w:tcPr>
                                          <w:tcW w:w="2350" w:type="dxa"/>
                                          <w:vAlign w:val="center"/>
                                          <w:hideMark/>
                                        </w:tcPr>
                                        <w:p w:rsidR="001836FB" w:rsidRDefault="001836FB">
                                          <w:pPr>
                                            <w:jc w:val="center"/>
                                            <w:rPr>
                                              <w:color w:val="666666"/>
                                            </w:rPr>
                                          </w:pPr>
                                          <w:r>
                                            <w:rPr>
                                              <w:noProof/>
                                              <w:color w:val="666666"/>
                                              <w:lang w:eastAsia="mk-MK"/>
                                            </w:rPr>
                                            <w:drawing>
                                              <wp:inline distT="0" distB="0" distL="0" distR="0">
                                                <wp:extent cx="2535555" cy="1677035"/>
                                                <wp:effectExtent l="19050" t="0" r="0" b="0"/>
                                                <wp:docPr id="10" name="Picture 10" descr="https://mlsvc01-prod.s3.amazonaws.com/4f6971d8301/d2739c9e-658e-4590-a2b7-504f9213d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lsvc01-prod.s3.amazonaws.com/4f6971d8301/d2739c9e-658e-4590-a2b7-504f9213d2f1.jpg"/>
                                                        <pic:cNvPicPr>
                                                          <a:picLocks noChangeAspect="1" noChangeArrowheads="1"/>
                                                        </pic:cNvPicPr>
                                                      </pic:nvPicPr>
                                                      <pic:blipFill>
                                                        <a:blip r:embed="rId13" cstate="print"/>
                                                        <a:srcRect/>
                                                        <a:stretch>
                                                          <a:fillRect/>
                                                        </a:stretch>
                                                      </pic:blipFill>
                                                      <pic:spPr bwMode="auto">
                                                        <a:xfrm>
                                                          <a:off x="0" y="0"/>
                                                          <a:ext cx="2535555" cy="1677035"/>
                                                        </a:xfrm>
                                                        <a:prstGeom prst="rect">
                                                          <a:avLst/>
                                                        </a:prstGeom>
                                                        <a:noFill/>
                                                        <a:ln w="9525">
                                                          <a:noFill/>
                                                          <a:miter lim="800000"/>
                                                          <a:headEnd/>
                                                          <a:tailEnd/>
                                                        </a:ln>
                                                      </pic:spPr>
                                                    </pic:pic>
                                                  </a:graphicData>
                                                </a:graphic>
                                              </wp:inline>
                                            </w:drawing>
                                          </w:r>
                                        </w:p>
                                      </w:tc>
                                    </w:tr>
                                  </w:tbl>
                                  <w:p w:rsidR="001836FB" w:rsidRDefault="001836FB">
                                    <w:pPr>
                                      <w:jc w:val="center"/>
                                      <w:rPr>
                                        <w:rFonts w:ascii="Verdana" w:hAnsi="Verdana"/>
                                        <w:color w:val="666666"/>
                                        <w:sz w:val="22"/>
                                        <w:szCs w:val="22"/>
                                      </w:rPr>
                                    </w:pPr>
                                  </w:p>
                                </w:tc>
                              </w:tr>
                            </w:tbl>
                            <w:p w:rsidR="001836FB" w:rsidRDefault="001836FB">
                              <w:pPr>
                                <w:jc w:val="both"/>
                              </w:pPr>
                            </w:p>
                          </w:tc>
                        </w:tr>
                      </w:tbl>
                      <w:p w:rsidR="001836FB" w:rsidRDefault="001836FB">
                        <w:pPr>
                          <w:jc w:val="both"/>
                          <w:rPr>
                            <w:rFonts w:ascii="Verdana" w:hAnsi="Verdana"/>
                            <w:color w:val="666666"/>
                            <w:sz w:val="22"/>
                            <w:szCs w:val="22"/>
                          </w:rPr>
                        </w:pP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5301" w:type="dxa"/>
                        <w:hideMark/>
                      </w:tcPr>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0" w:type="auto"/>
                              <w:shd w:val="clear" w:color="auto" w:fill="0000A5"/>
                              <w:tcMar>
                                <w:top w:w="0" w:type="dxa"/>
                                <w:left w:w="0" w:type="dxa"/>
                                <w:bottom w:w="44" w:type="dxa"/>
                                <w:right w:w="0" w:type="dxa"/>
                              </w:tcMar>
                              <w:vAlign w:val="center"/>
                              <w:hideMark/>
                            </w:tcPr>
                            <w:p w:rsidR="001836FB" w:rsidRDefault="001836FB">
                              <w:pPr>
                                <w:spacing w:line="9" w:lineRule="atLeast"/>
                                <w:jc w:val="center"/>
                              </w:pPr>
                              <w:r>
                                <w:rPr>
                                  <w:noProof/>
                                  <w:shd w:val="clear" w:color="auto" w:fill="0000A5"/>
                                  <w:lang w:eastAsia="mk-MK"/>
                                </w:rPr>
                                <w:drawing>
                                  <wp:inline distT="0" distB="0" distL="0" distR="0">
                                    <wp:extent cx="45085" cy="5715"/>
                                    <wp:effectExtent l="0" t="0" r="0" b="0"/>
                                    <wp:docPr id="11" name="Picture 11"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1836FB" w:rsidRDefault="001836FB">
                        <w:pPr>
                          <w:spacing w:line="9" w:lineRule="atLeast"/>
                          <w:jc w:val="center"/>
                        </w:pP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blCellSpacing w:w="0" w:type="dxa"/>
                      <w:jc w:val="center"/>
                    </w:trPr>
                    <w:tc>
                      <w:tcPr>
                        <w:tcW w:w="0" w:type="auto"/>
                        <w:tcMar>
                          <w:top w:w="71" w:type="dxa"/>
                          <w:left w:w="177" w:type="dxa"/>
                          <w:bottom w:w="80" w:type="dxa"/>
                          <w:right w:w="177" w:type="dxa"/>
                        </w:tcMar>
                        <w:hideMark/>
                      </w:tcPr>
                      <w:p w:rsidR="001836FB" w:rsidRDefault="001836FB">
                        <w:pPr>
                          <w:jc w:val="center"/>
                        </w:pPr>
                        <w:r>
                          <w:rPr>
                            <w:rFonts w:ascii="Verdana" w:hAnsi="Verdana"/>
                            <w:b/>
                            <w:bCs/>
                            <w:color w:val="0000A5"/>
                            <w:sz w:val="32"/>
                            <w:szCs w:val="32"/>
                          </w:rPr>
                          <w:t>Concluding remarks</w:t>
                        </w: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blCellSpacing w:w="0" w:type="dxa"/>
                      <w:jc w:val="center"/>
                    </w:trPr>
                    <w:tc>
                      <w:tcPr>
                        <w:tcW w:w="0" w:type="auto"/>
                        <w:tcMar>
                          <w:top w:w="71" w:type="dxa"/>
                          <w:left w:w="177" w:type="dxa"/>
                          <w:bottom w:w="80" w:type="dxa"/>
                          <w:right w:w="177" w:type="dxa"/>
                        </w:tcMar>
                        <w:hideMark/>
                      </w:tcPr>
                      <w:p w:rsidR="001836FB" w:rsidRDefault="001836FB" w:rsidP="001836FB">
                        <w:pPr>
                          <w:jc w:val="both"/>
                          <w:rPr>
                            <w:rFonts w:ascii="Verdana" w:hAnsi="Verdana"/>
                            <w:color w:val="666666"/>
                            <w:sz w:val="22"/>
                            <w:szCs w:val="22"/>
                          </w:rPr>
                        </w:pPr>
                        <w:r>
                          <w:rPr>
                            <w:rFonts w:ascii="Arial" w:hAnsi="Arial" w:cs="Arial"/>
                            <w:color w:val="666666"/>
                            <w:sz w:val="20"/>
                            <w:szCs w:val="20"/>
                          </w:rPr>
                          <w:t>The Western Balkan Accession Reform initiative aims at bringing together high level representatives from the relevant national institutions dealing with the EU integration process and the representatives from the European Commission to discuss jointly the enlargement package and the new methodology. EU member states' Ambassadors also participated in the conference. During the panel discussions the participants focused on the new enlargement strategy and the new generation of the country reports as well as the new recalibrated reporting methodology.</w:t>
                        </w:r>
                      </w:p>
                      <w:p w:rsidR="001836FB" w:rsidRDefault="001836FB">
                        <w:pPr>
                          <w:numPr>
                            <w:ilvl w:val="0"/>
                            <w:numId w:val="1"/>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The importance of the enlargement policy for the peace, stability and long term economic development for the countries from the Region was acknowledged. Participants agreed that the European perspective of the region proved to be the only viable means for long-lasting stabilization and prosperity of the Balkans.Joint efforts are needed to keep the credibility of the enlargement process as the best response to the challenges ahead: security/migration, strengthening the democratic institutions and economic development.</w:t>
                        </w:r>
                      </w:p>
                      <w:p w:rsidR="001836FB" w:rsidRDefault="001836FB">
                        <w:pPr>
                          <w:numPr>
                            <w:ilvl w:val="0"/>
                            <w:numId w:val="2"/>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In this regard participants fully supported the European Commission continued efforts to strengthen the credibility of the enlargement policy through extending its comprehensive new approach on addressing fundamentals first on rule of law, economic governance and public administration as well as putting much more emphasis on the state of play in the countries and where they stand in terms of preparedness for taking on the obligations of membership as well as giving clear guidance on what the countries are expected to do in both the short and long term.</w:t>
                        </w:r>
                      </w:p>
                      <w:p w:rsidR="001836FB" w:rsidRDefault="001836FB">
                        <w:pPr>
                          <w:numPr>
                            <w:ilvl w:val="0"/>
                            <w:numId w:val="3"/>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The participants strongly emphasized the role of regional cooperation for the EU integration process of the Western Balkans, considering the WBAR initiative as a follow up to the Berlin process and the Vienna summit as well as a contribution to the forthcoming Paris and Rome summits/events, seeing it as a tool for discussing common challenges and exchanging experience on the EU accession reforms.</w:t>
                        </w:r>
                      </w:p>
                      <w:p w:rsidR="001836FB" w:rsidRDefault="001836FB">
                        <w:pPr>
                          <w:numPr>
                            <w:ilvl w:val="0"/>
                            <w:numId w:val="4"/>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Proposals were given for establishing a more permanent form of regional cooperation including high level regional meeting after the publication of the country reports on annual basis as well as more frequent expert level meetings during the year.</w:t>
                        </w:r>
                      </w:p>
                      <w:p w:rsidR="001836FB" w:rsidRDefault="001836FB">
                        <w:pPr>
                          <w:numPr>
                            <w:ilvl w:val="0"/>
                            <w:numId w:val="5"/>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Participants supported the new reporting methodology as well as the assessment of the level of preparedness and progress providing possibility for identifying common challenges and developing ways to address them.</w:t>
                        </w:r>
                      </w:p>
                      <w:p w:rsidR="001836FB" w:rsidRDefault="001836FB">
                        <w:pPr>
                          <w:numPr>
                            <w:ilvl w:val="0"/>
                            <w:numId w:val="6"/>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The available instruments during the course of the EU integration process, such as HLAD, IPA and other instruments represent useful mechanisms which will help us to successfully implement obligations that are part of the integration process in cooperation with our partners from the European Commission.</w:t>
                        </w:r>
                      </w:p>
                      <w:p w:rsidR="001836FB" w:rsidRDefault="001836FB">
                        <w:pPr>
                          <w:numPr>
                            <w:ilvl w:val="0"/>
                            <w:numId w:val="7"/>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Participants expressed the need for closer cooperation with the European Commission and its services especially in preparing the countries' contributions and developing measures for implementation of the reforms. In addition the need for joint communication activities was expressed.  </w:t>
                        </w:r>
                      </w:p>
                      <w:p w:rsidR="001836FB" w:rsidRDefault="001836FB">
                        <w:pPr>
                          <w:numPr>
                            <w:ilvl w:val="0"/>
                            <w:numId w:val="8"/>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Finally, participants agreed to extend the participation in this initiative by including other relevant stakeholders.</w:t>
                        </w:r>
                      </w:p>
                      <w:p w:rsidR="001836FB" w:rsidRDefault="001836FB">
                        <w:pPr>
                          <w:numPr>
                            <w:ilvl w:val="0"/>
                            <w:numId w:val="9"/>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With this we conclude the High-Level Regional Conference WBAR 2015 in Skopje and announce that the next WBAR 2016 will be organized in Podgorica. </w:t>
                        </w: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0" w:type="auto"/>
                        <w:tcMar>
                          <w:top w:w="0" w:type="dxa"/>
                          <w:left w:w="0" w:type="dxa"/>
                          <w:bottom w:w="80" w:type="dxa"/>
                          <w:right w:w="0" w:type="dxa"/>
                        </w:tcMar>
                        <w:vAlign w:val="center"/>
                        <w:hideMark/>
                      </w:tcPr>
                      <w:p w:rsidR="001836FB" w:rsidRDefault="001836FB">
                        <w:pPr>
                          <w:spacing w:line="9" w:lineRule="atLeast"/>
                          <w:jc w:val="center"/>
                        </w:pPr>
                        <w:r>
                          <w:rPr>
                            <w:noProof/>
                            <w:lang w:eastAsia="mk-MK"/>
                          </w:rPr>
                          <w:drawing>
                            <wp:inline distT="0" distB="0" distL="0" distR="0">
                              <wp:extent cx="45085" cy="5715"/>
                              <wp:effectExtent l="0" t="0" r="0" b="0"/>
                              <wp:docPr id="12" name="Picture 12"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5301" w:type="dxa"/>
                        <w:hideMark/>
                      </w:tcPr>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0" w:type="auto"/>
                              <w:shd w:val="clear" w:color="auto" w:fill="0000A5"/>
                              <w:tcMar>
                                <w:top w:w="0" w:type="dxa"/>
                                <w:left w:w="0" w:type="dxa"/>
                                <w:bottom w:w="44" w:type="dxa"/>
                                <w:right w:w="0" w:type="dxa"/>
                              </w:tcMar>
                              <w:vAlign w:val="center"/>
                              <w:hideMark/>
                            </w:tcPr>
                            <w:p w:rsidR="001836FB" w:rsidRDefault="001836FB">
                              <w:pPr>
                                <w:spacing w:line="9" w:lineRule="atLeast"/>
                                <w:jc w:val="center"/>
                              </w:pPr>
                              <w:r>
                                <w:rPr>
                                  <w:noProof/>
                                  <w:shd w:val="clear" w:color="auto" w:fill="0000A5"/>
                                  <w:lang w:eastAsia="mk-MK"/>
                                </w:rPr>
                                <w:drawing>
                                  <wp:inline distT="0" distB="0" distL="0" distR="0">
                                    <wp:extent cx="45085" cy="5715"/>
                                    <wp:effectExtent l="0" t="0" r="0" b="0"/>
                                    <wp:docPr id="13" name="Picture 13"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1836FB" w:rsidRDefault="001836FB">
                        <w:pPr>
                          <w:spacing w:line="9" w:lineRule="atLeast"/>
                          <w:jc w:val="center"/>
                        </w:pP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blCellSpacing w:w="0" w:type="dxa"/>
                      <w:jc w:val="center"/>
                    </w:trPr>
                    <w:tc>
                      <w:tcPr>
                        <w:tcW w:w="0" w:type="auto"/>
                        <w:tcMar>
                          <w:top w:w="71" w:type="dxa"/>
                          <w:left w:w="177" w:type="dxa"/>
                          <w:bottom w:w="80" w:type="dxa"/>
                          <w:right w:w="177" w:type="dxa"/>
                        </w:tcMar>
                        <w:hideMark/>
                      </w:tcPr>
                      <w:p w:rsidR="001836FB" w:rsidRDefault="001836FB" w:rsidP="001836FB">
                        <w:pPr>
                          <w:jc w:val="center"/>
                          <w:rPr>
                            <w:rFonts w:ascii="Georgia" w:hAnsi="Georgia"/>
                            <w:b/>
                            <w:bCs/>
                            <w:color w:val="0000FF"/>
                            <w:sz w:val="32"/>
                            <w:szCs w:val="32"/>
                          </w:rPr>
                        </w:pPr>
                      </w:p>
                    </w:tc>
                  </w:tr>
                </w:tbl>
                <w:p w:rsidR="001836FB" w:rsidRDefault="001836FB">
                  <w:pPr>
                    <w:jc w:val="center"/>
                    <w:rPr>
                      <w:vanish/>
                    </w:rPr>
                  </w:pPr>
                </w:p>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5301" w:type="dxa"/>
                        <w:hideMark/>
                      </w:tcPr>
                      <w:tbl>
                        <w:tblPr>
                          <w:tblW w:w="5000" w:type="pct"/>
                          <w:jc w:val="center"/>
                          <w:tblCellSpacing w:w="0" w:type="dxa"/>
                          <w:tblCellMar>
                            <w:left w:w="0" w:type="dxa"/>
                            <w:right w:w="0" w:type="dxa"/>
                          </w:tblCellMar>
                          <w:tblLook w:val="04A0"/>
                        </w:tblPr>
                        <w:tblGrid>
                          <w:gridCol w:w="8306"/>
                        </w:tblGrid>
                        <w:tr w:rsidR="001836FB">
                          <w:trPr>
                            <w:trHeight w:val="9"/>
                            <w:tblCellSpacing w:w="0" w:type="dxa"/>
                            <w:jc w:val="center"/>
                          </w:trPr>
                          <w:tc>
                            <w:tcPr>
                              <w:tcW w:w="0" w:type="auto"/>
                              <w:shd w:val="clear" w:color="auto" w:fill="0000A5"/>
                              <w:tcMar>
                                <w:top w:w="0" w:type="dxa"/>
                                <w:left w:w="0" w:type="dxa"/>
                                <w:bottom w:w="44" w:type="dxa"/>
                                <w:right w:w="0" w:type="dxa"/>
                              </w:tcMar>
                              <w:vAlign w:val="center"/>
                              <w:hideMark/>
                            </w:tcPr>
                            <w:p w:rsidR="001836FB" w:rsidRDefault="001836FB">
                              <w:pPr>
                                <w:spacing w:line="9" w:lineRule="atLeast"/>
                                <w:jc w:val="center"/>
                              </w:pPr>
                              <w:r>
                                <w:rPr>
                                  <w:noProof/>
                                  <w:shd w:val="clear" w:color="auto" w:fill="0000A5"/>
                                  <w:lang w:eastAsia="mk-MK"/>
                                </w:rPr>
                                <w:drawing>
                                  <wp:inline distT="0" distB="0" distL="0" distR="0">
                                    <wp:extent cx="45085" cy="5715"/>
                                    <wp:effectExtent l="0" t="0" r="0" b="0"/>
                                    <wp:docPr id="14" name="Picture 14"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1836FB" w:rsidRDefault="001836FB">
                        <w:pPr>
                          <w:spacing w:line="9" w:lineRule="atLeast"/>
                          <w:jc w:val="center"/>
                        </w:pPr>
                      </w:p>
                    </w:tc>
                  </w:tr>
                </w:tbl>
                <w:p w:rsidR="001836FB" w:rsidRDefault="001836FB">
                  <w:pPr>
                    <w:jc w:val="center"/>
                  </w:pPr>
                </w:p>
              </w:tc>
            </w:tr>
          </w:tbl>
          <w:p w:rsidR="001836FB" w:rsidRDefault="001836FB">
            <w:pPr>
              <w:jc w:val="center"/>
              <w:rPr>
                <w:rFonts w:ascii="Segoe UI" w:hAnsi="Segoe UI" w:cs="Segoe UI"/>
                <w:color w:val="212121"/>
                <w:sz w:val="13"/>
                <w:szCs w:val="13"/>
              </w:rPr>
            </w:pPr>
          </w:p>
        </w:tc>
      </w:tr>
    </w:tbl>
    <w:p w:rsidR="001836FB" w:rsidRDefault="001836FB" w:rsidP="001836FB">
      <w:pPr>
        <w:rPr>
          <w:vanish/>
        </w:rPr>
      </w:pPr>
    </w:p>
    <w:tbl>
      <w:tblPr>
        <w:tblW w:w="5000" w:type="pct"/>
        <w:tblCellSpacing w:w="0" w:type="dxa"/>
        <w:shd w:val="clear" w:color="auto" w:fill="FFFFFF"/>
        <w:tblCellMar>
          <w:left w:w="0" w:type="dxa"/>
          <w:right w:w="0" w:type="dxa"/>
        </w:tblCellMar>
        <w:tblLook w:val="04A0"/>
      </w:tblPr>
      <w:tblGrid>
        <w:gridCol w:w="8306"/>
      </w:tblGrid>
      <w:tr w:rsidR="001836FB" w:rsidTr="001836FB">
        <w:trPr>
          <w:tblCellSpacing w:w="0" w:type="dxa"/>
        </w:trPr>
        <w:tc>
          <w:tcPr>
            <w:tcW w:w="5301" w:type="dxa"/>
            <w:shd w:val="clear" w:color="auto" w:fill="FFFFFF"/>
            <w:tcMar>
              <w:top w:w="80" w:type="dxa"/>
              <w:left w:w="0" w:type="dxa"/>
              <w:bottom w:w="71" w:type="dxa"/>
              <w:right w:w="0" w:type="dxa"/>
            </w:tcMar>
            <w:hideMark/>
          </w:tcPr>
          <w:tbl>
            <w:tblPr>
              <w:tblW w:w="5000" w:type="pct"/>
              <w:jc w:val="center"/>
              <w:tblCellSpacing w:w="0" w:type="dxa"/>
              <w:tblCellMar>
                <w:left w:w="0" w:type="dxa"/>
                <w:right w:w="0" w:type="dxa"/>
              </w:tblCellMar>
              <w:tblLook w:val="04A0"/>
            </w:tblPr>
            <w:tblGrid>
              <w:gridCol w:w="8306"/>
            </w:tblGrid>
            <w:tr w:rsidR="001836FB">
              <w:trPr>
                <w:tblCellSpacing w:w="0" w:type="dxa"/>
                <w:jc w:val="center"/>
              </w:trPr>
              <w:tc>
                <w:tcPr>
                  <w:tcW w:w="0" w:type="auto"/>
                  <w:tcMar>
                    <w:top w:w="133" w:type="dxa"/>
                    <w:left w:w="0" w:type="dxa"/>
                    <w:bottom w:w="133" w:type="dxa"/>
                    <w:right w:w="0" w:type="dxa"/>
                  </w:tcMar>
                  <w:hideMark/>
                </w:tcPr>
                <w:tbl>
                  <w:tblPr>
                    <w:tblW w:w="5301" w:type="dxa"/>
                    <w:jc w:val="center"/>
                    <w:tblCellSpacing w:w="0" w:type="dxa"/>
                    <w:tblCellMar>
                      <w:left w:w="0" w:type="dxa"/>
                      <w:right w:w="0" w:type="dxa"/>
                    </w:tblCellMar>
                    <w:tblLook w:val="04A0"/>
                  </w:tblPr>
                  <w:tblGrid>
                    <w:gridCol w:w="8306"/>
                  </w:tblGrid>
                  <w:tr w:rsidR="001836FB">
                    <w:trPr>
                      <w:tblCellSpacing w:w="0" w:type="dxa"/>
                      <w:jc w:val="center"/>
                    </w:trPr>
                    <w:tc>
                      <w:tcPr>
                        <w:tcW w:w="5301" w:type="dxa"/>
                        <w:vAlign w:val="center"/>
                        <w:hideMark/>
                      </w:tcPr>
                      <w:p w:rsidR="001836FB" w:rsidRDefault="001836FB">
                        <w:pPr>
                          <w:jc w:val="center"/>
                          <w:rPr>
                            <w:color w:val="000000"/>
                          </w:rPr>
                        </w:pPr>
                        <w:r>
                          <w:rPr>
                            <w:noProof/>
                            <w:color w:val="0000FF"/>
                            <w:lang w:eastAsia="mk-MK"/>
                          </w:rPr>
                          <w:drawing>
                            <wp:inline distT="0" distB="0" distL="0" distR="0">
                              <wp:extent cx="5716270" cy="1677035"/>
                              <wp:effectExtent l="19050" t="0" r="0" b="0"/>
                              <wp:docPr id="15" name="Picture 15" descr="https://mlsvc01-prod.s3.amazonaws.com/4f6971d8301/a47c5133-f0f5-42c5-8504-75283ffb089f.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lsvc01-prod.s3.amazonaws.com/4f6971d8301/a47c5133-f0f5-42c5-8504-75283ffb089f.jpg">
                                        <a:hlinkClick r:id="rId5" tgtFrame="&quot;_blank&quot;"/>
                                      </pic:cNvPr>
                                      <pic:cNvPicPr>
                                        <a:picLocks noChangeAspect="1" noChangeArrowheads="1"/>
                                      </pic:cNvPicPr>
                                    </pic:nvPicPr>
                                    <pic:blipFill>
                                      <a:blip r:embed="rId14"/>
                                      <a:srcRect/>
                                      <a:stretch>
                                        <a:fillRect/>
                                      </a:stretch>
                                    </pic:blipFill>
                                    <pic:spPr bwMode="auto">
                                      <a:xfrm>
                                        <a:off x="0" y="0"/>
                                        <a:ext cx="5716270" cy="1677035"/>
                                      </a:xfrm>
                                      <a:prstGeom prst="rect">
                                        <a:avLst/>
                                      </a:prstGeom>
                                      <a:noFill/>
                                      <a:ln w="9525">
                                        <a:noFill/>
                                        <a:miter lim="800000"/>
                                        <a:headEnd/>
                                        <a:tailEnd/>
                                      </a:ln>
                                    </pic:spPr>
                                  </pic:pic>
                                </a:graphicData>
                              </a:graphic>
                            </wp:inline>
                          </w:drawing>
                        </w:r>
                      </w:p>
                    </w:tc>
                  </w:tr>
                </w:tbl>
                <w:p w:rsidR="001836FB" w:rsidRDefault="001836FB">
                  <w:pPr>
                    <w:jc w:val="center"/>
                    <w:rPr>
                      <w:color w:val="000000"/>
                    </w:rPr>
                  </w:pPr>
                </w:p>
              </w:tc>
            </w:tr>
          </w:tbl>
          <w:p w:rsidR="001836FB" w:rsidRDefault="001836FB">
            <w:pPr>
              <w:jc w:val="center"/>
              <w:rPr>
                <w:rFonts w:ascii="Segoe UI" w:hAnsi="Segoe UI" w:cs="Segoe UI"/>
                <w:color w:val="212121"/>
                <w:sz w:val="13"/>
                <w:szCs w:val="13"/>
              </w:rPr>
            </w:pPr>
          </w:p>
        </w:tc>
      </w:tr>
    </w:tbl>
    <w:p w:rsidR="00820AFD" w:rsidRDefault="00820AFD"/>
    <w:sectPr w:rsidR="00820AFD" w:rsidSect="00820AF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9A1"/>
    <w:multiLevelType w:val="multilevel"/>
    <w:tmpl w:val="4DC6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C3472"/>
    <w:multiLevelType w:val="multilevel"/>
    <w:tmpl w:val="6C4C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1623F"/>
    <w:multiLevelType w:val="multilevel"/>
    <w:tmpl w:val="B964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867F2"/>
    <w:multiLevelType w:val="multilevel"/>
    <w:tmpl w:val="D882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EE2493"/>
    <w:multiLevelType w:val="multilevel"/>
    <w:tmpl w:val="B5E6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F533AB"/>
    <w:multiLevelType w:val="multilevel"/>
    <w:tmpl w:val="C38C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A33C6C"/>
    <w:multiLevelType w:val="multilevel"/>
    <w:tmpl w:val="6FE2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0B32EC"/>
    <w:multiLevelType w:val="multilevel"/>
    <w:tmpl w:val="6F3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B820C5"/>
    <w:multiLevelType w:val="multilevel"/>
    <w:tmpl w:val="C450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4"/>
  </w:num>
  <w:num w:numId="5">
    <w:abstractNumId w:val="6"/>
  </w:num>
  <w:num w:numId="6">
    <w:abstractNumId w:val="1"/>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defaultTabStop w:val="720"/>
  <w:characterSpacingControl w:val="doNotCompress"/>
  <w:compat/>
  <w:rsids>
    <w:rsidRoot w:val="001836FB"/>
    <w:rsid w:val="001836FB"/>
    <w:rsid w:val="001B591A"/>
    <w:rsid w:val="00242948"/>
    <w:rsid w:val="00432B34"/>
    <w:rsid w:val="00820AFD"/>
    <w:rsid w:val="0098657E"/>
    <w:rsid w:val="00CC248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AFD"/>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6FB"/>
    <w:rPr>
      <w:color w:val="0000FF"/>
      <w:u w:val="single"/>
    </w:rPr>
  </w:style>
  <w:style w:type="paragraph" w:styleId="BalloonText">
    <w:name w:val="Balloon Text"/>
    <w:basedOn w:val="Normal"/>
    <w:link w:val="BalloonTextChar"/>
    <w:rsid w:val="001836FB"/>
    <w:rPr>
      <w:rFonts w:ascii="Tahoma" w:hAnsi="Tahoma" w:cs="Tahoma"/>
      <w:sz w:val="16"/>
      <w:szCs w:val="16"/>
    </w:rPr>
  </w:style>
  <w:style w:type="character" w:customStyle="1" w:styleId="BalloonTextChar">
    <w:name w:val="Balloon Text Char"/>
    <w:basedOn w:val="DefaultParagraphFont"/>
    <w:link w:val="BalloonText"/>
    <w:rsid w:val="001836FB"/>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2012945547">
      <w:bodyDiv w:val="1"/>
      <w:marLeft w:val="0"/>
      <w:marRight w:val="0"/>
      <w:marTop w:val="0"/>
      <w:marBottom w:val="0"/>
      <w:divBdr>
        <w:top w:val="none" w:sz="0" w:space="0" w:color="auto"/>
        <w:left w:val="none" w:sz="0" w:space="0" w:color="auto"/>
        <w:bottom w:val="none" w:sz="0" w:space="0" w:color="auto"/>
        <w:right w:val="none" w:sz="0" w:space="0" w:color="auto"/>
      </w:divBdr>
      <w:divsChild>
        <w:div w:id="325520422">
          <w:marLeft w:val="0"/>
          <w:marRight w:val="0"/>
          <w:marTop w:val="0"/>
          <w:marBottom w:val="0"/>
          <w:divBdr>
            <w:top w:val="none" w:sz="0" w:space="0" w:color="auto"/>
            <w:left w:val="none" w:sz="0" w:space="0" w:color="auto"/>
            <w:bottom w:val="none" w:sz="0" w:space="0" w:color="auto"/>
            <w:right w:val="none" w:sz="0" w:space="0" w:color="auto"/>
          </w:divBdr>
          <w:divsChild>
            <w:div w:id="28340513">
              <w:marLeft w:val="0"/>
              <w:marRight w:val="0"/>
              <w:marTop w:val="0"/>
              <w:marBottom w:val="0"/>
              <w:divBdr>
                <w:top w:val="none" w:sz="0" w:space="0" w:color="auto"/>
                <w:left w:val="none" w:sz="0" w:space="0" w:color="auto"/>
                <w:bottom w:val="none" w:sz="0" w:space="0" w:color="auto"/>
                <w:right w:val="none" w:sz="0" w:space="0" w:color="auto"/>
              </w:divBdr>
            </w:div>
            <w:div w:id="1002315399">
              <w:marLeft w:val="0"/>
              <w:marRight w:val="0"/>
              <w:marTop w:val="0"/>
              <w:marBottom w:val="0"/>
              <w:divBdr>
                <w:top w:val="none" w:sz="0" w:space="0" w:color="auto"/>
                <w:left w:val="none" w:sz="0" w:space="0" w:color="auto"/>
                <w:bottom w:val="none" w:sz="0" w:space="0" w:color="auto"/>
                <w:right w:val="none" w:sz="0" w:space="0" w:color="auto"/>
              </w:divBdr>
            </w:div>
            <w:div w:id="898787255">
              <w:marLeft w:val="0"/>
              <w:marRight w:val="0"/>
              <w:marTop w:val="0"/>
              <w:marBottom w:val="0"/>
              <w:divBdr>
                <w:top w:val="none" w:sz="0" w:space="0" w:color="auto"/>
                <w:left w:val="none" w:sz="0" w:space="0" w:color="auto"/>
                <w:bottom w:val="none" w:sz="0" w:space="0" w:color="auto"/>
                <w:right w:val="none" w:sz="0" w:space="0" w:color="auto"/>
              </w:divBdr>
            </w:div>
            <w:div w:id="2070956157">
              <w:marLeft w:val="0"/>
              <w:marRight w:val="0"/>
              <w:marTop w:val="0"/>
              <w:marBottom w:val="0"/>
              <w:divBdr>
                <w:top w:val="none" w:sz="0" w:space="0" w:color="auto"/>
                <w:left w:val="none" w:sz="0" w:space="0" w:color="auto"/>
                <w:bottom w:val="none" w:sz="0" w:space="0" w:color="auto"/>
                <w:right w:val="none" w:sz="0" w:space="0" w:color="auto"/>
              </w:divBdr>
            </w:div>
            <w:div w:id="1993096085">
              <w:marLeft w:val="0"/>
              <w:marRight w:val="0"/>
              <w:marTop w:val="0"/>
              <w:marBottom w:val="0"/>
              <w:divBdr>
                <w:top w:val="none" w:sz="0" w:space="0" w:color="auto"/>
                <w:left w:val="none" w:sz="0" w:space="0" w:color="auto"/>
                <w:bottom w:val="none" w:sz="0" w:space="0" w:color="auto"/>
                <w:right w:val="none" w:sz="0" w:space="0" w:color="auto"/>
              </w:divBdr>
            </w:div>
            <w:div w:id="1796949963">
              <w:marLeft w:val="0"/>
              <w:marRight w:val="0"/>
              <w:marTop w:val="0"/>
              <w:marBottom w:val="0"/>
              <w:divBdr>
                <w:top w:val="none" w:sz="0" w:space="0" w:color="auto"/>
                <w:left w:val="none" w:sz="0" w:space="0" w:color="auto"/>
                <w:bottom w:val="none" w:sz="0" w:space="0" w:color="auto"/>
                <w:right w:val="none" w:sz="0" w:space="0" w:color="auto"/>
              </w:divBdr>
            </w:div>
            <w:div w:id="1583299289">
              <w:marLeft w:val="0"/>
              <w:marRight w:val="0"/>
              <w:marTop w:val="0"/>
              <w:marBottom w:val="0"/>
              <w:divBdr>
                <w:top w:val="none" w:sz="0" w:space="0" w:color="auto"/>
                <w:left w:val="none" w:sz="0" w:space="0" w:color="auto"/>
                <w:bottom w:val="none" w:sz="0" w:space="0" w:color="auto"/>
                <w:right w:val="none" w:sz="0" w:space="0" w:color="auto"/>
              </w:divBdr>
            </w:div>
            <w:div w:id="1079252457">
              <w:marLeft w:val="0"/>
              <w:marRight w:val="0"/>
              <w:marTop w:val="0"/>
              <w:marBottom w:val="0"/>
              <w:divBdr>
                <w:top w:val="none" w:sz="0" w:space="0" w:color="auto"/>
                <w:left w:val="none" w:sz="0" w:space="0" w:color="auto"/>
                <w:bottom w:val="none" w:sz="0" w:space="0" w:color="auto"/>
                <w:right w:val="none" w:sz="0" w:space="0" w:color="auto"/>
              </w:divBdr>
            </w:div>
          </w:divsChild>
        </w:div>
        <w:div w:id="108472161">
          <w:marLeft w:val="0"/>
          <w:marRight w:val="0"/>
          <w:marTop w:val="0"/>
          <w:marBottom w:val="0"/>
          <w:divBdr>
            <w:top w:val="none" w:sz="0" w:space="0" w:color="auto"/>
            <w:left w:val="none" w:sz="0" w:space="0" w:color="auto"/>
            <w:bottom w:val="none" w:sz="0" w:space="0" w:color="auto"/>
            <w:right w:val="none" w:sz="0" w:space="0" w:color="auto"/>
          </w:divBdr>
        </w:div>
        <w:div w:id="1083333387">
          <w:marLeft w:val="0"/>
          <w:marRight w:val="0"/>
          <w:marTop w:val="0"/>
          <w:marBottom w:val="0"/>
          <w:divBdr>
            <w:top w:val="none" w:sz="0" w:space="0" w:color="auto"/>
            <w:left w:val="none" w:sz="0" w:space="0" w:color="auto"/>
            <w:bottom w:val="none" w:sz="0" w:space="0" w:color="auto"/>
            <w:right w:val="none" w:sz="0" w:space="0" w:color="auto"/>
          </w:divBdr>
        </w:div>
        <w:div w:id="1517040951">
          <w:marLeft w:val="0"/>
          <w:marRight w:val="0"/>
          <w:marTop w:val="0"/>
          <w:marBottom w:val="0"/>
          <w:divBdr>
            <w:top w:val="none" w:sz="0" w:space="0" w:color="auto"/>
            <w:left w:val="none" w:sz="0" w:space="0" w:color="auto"/>
            <w:bottom w:val="none" w:sz="0" w:space="0" w:color="auto"/>
            <w:right w:val="none" w:sz="0" w:space="0" w:color="auto"/>
          </w:divBdr>
        </w:div>
        <w:div w:id="474030272">
          <w:marLeft w:val="0"/>
          <w:marRight w:val="0"/>
          <w:marTop w:val="0"/>
          <w:marBottom w:val="0"/>
          <w:divBdr>
            <w:top w:val="none" w:sz="0" w:space="0" w:color="auto"/>
            <w:left w:val="none" w:sz="0" w:space="0" w:color="auto"/>
            <w:bottom w:val="none" w:sz="0" w:space="0" w:color="auto"/>
            <w:right w:val="none" w:sz="0" w:space="0" w:color="auto"/>
          </w:divBdr>
        </w:div>
        <w:div w:id="1683319238">
          <w:marLeft w:val="0"/>
          <w:marRight w:val="0"/>
          <w:marTop w:val="0"/>
          <w:marBottom w:val="0"/>
          <w:divBdr>
            <w:top w:val="none" w:sz="0" w:space="0" w:color="auto"/>
            <w:left w:val="none" w:sz="0" w:space="0" w:color="auto"/>
            <w:bottom w:val="none" w:sz="0" w:space="0" w:color="auto"/>
            <w:right w:val="none" w:sz="0" w:space="0" w:color="auto"/>
          </w:divBdr>
        </w:div>
        <w:div w:id="169118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r20.rs6.net/tn.jsp?e=001xBuXyDrCf_kdVlxkAXEKEBxWgOl-HGEXySjC4Fmd5dUdCr2TzLDe6R6yPx0jKPFusmz50qyt7yjv9yT7u99aeHNm2IfpCzIit8K_S-D_IIA="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r20.rs6.net/tn.jsp?e=001xBuXyDrCf_kdVlxkAXEKEBxWgOl-HGEXySjC4Fmd5dUdCr2TzLDe6R6yPx0jKPFusmz50qyt7yjv9yT7u99aeHNm2IfpCzIiHIqOhcwAHohIn6-EDxvloWctlEViYYmBX_z3WHy4zcY3wt3SsZU4jA=="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4147</Characters>
  <Application>Microsoft Office Word</Application>
  <DocSecurity>0</DocSecurity>
  <Lines>34</Lines>
  <Paragraphs>9</Paragraphs>
  <ScaleCrop>false</ScaleCrop>
  <Company>Vlada na Republika Makedonija</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melani.novakovska</dc:creator>
  <cp:keywords/>
  <dc:description/>
  <cp:lastModifiedBy>melani.novakovska</cp:lastModifiedBy>
  <cp:revision>2</cp:revision>
  <dcterms:created xsi:type="dcterms:W3CDTF">2015-11-30T16:11:00Z</dcterms:created>
  <dcterms:modified xsi:type="dcterms:W3CDTF">2015-11-30T16:14:00Z</dcterms:modified>
</cp:coreProperties>
</file>