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8D4" w:rsidRPr="00EA7926" w:rsidRDefault="004B28D4" w:rsidP="004B28D4">
      <w:pPr>
        <w:pStyle w:val="BodyText"/>
        <w:spacing w:before="6"/>
        <w:ind w:left="0" w:right="0"/>
        <w:jc w:val="left"/>
        <w:rPr>
          <w:sz w:val="20"/>
        </w:rPr>
      </w:pPr>
      <w:r w:rsidRPr="00EA7926">
        <w:rPr>
          <w:noProof/>
          <w:lang w:val="en-GB" w:eastAsia="en-GB"/>
        </w:rPr>
        <w:drawing>
          <wp:inline distT="0" distB="0" distL="0" distR="0" wp14:anchorId="3B1DB9D8" wp14:editId="7E6F5ACC">
            <wp:extent cx="1471295" cy="721995"/>
            <wp:effectExtent l="0" t="0" r="0" b="1905"/>
            <wp:docPr id="1" name="Picture 1" descr="0C8D478D-F090-44EC-B1A4-C4D861AFB4B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0C8D478D-F090-44EC-B1A4-C4D861AFB4B1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1295" cy="721995"/>
                    </a:xfrm>
                    <a:prstGeom prst="rect">
                      <a:avLst/>
                    </a:prstGeom>
                    <a:noFill/>
                    <a:ln>
                      <a:noFill/>
                    </a:ln>
                  </pic:spPr>
                </pic:pic>
              </a:graphicData>
            </a:graphic>
          </wp:inline>
        </w:drawing>
      </w:r>
      <w:r w:rsidRPr="00EA7926">
        <w:rPr>
          <w:sz w:val="16"/>
        </w:rPr>
        <w:t xml:space="preserve"> </w:t>
      </w:r>
      <w:r w:rsidRPr="00EA7926">
        <w:t xml:space="preserve">ЕВРОПСКА КОМИСИЈА </w:t>
      </w:r>
    </w:p>
    <w:p w:rsidR="004B28D4" w:rsidRPr="00EA7926" w:rsidRDefault="004B28D4" w:rsidP="004B28D4">
      <w:pPr>
        <w:pStyle w:val="BodyText"/>
        <w:spacing w:before="0"/>
        <w:ind w:left="0" w:right="0"/>
        <w:jc w:val="left"/>
        <w:rPr>
          <w:sz w:val="20"/>
        </w:rPr>
      </w:pPr>
    </w:p>
    <w:p w:rsidR="004B28D4" w:rsidRPr="00EA7926" w:rsidRDefault="004B28D4" w:rsidP="004B28D4">
      <w:pPr>
        <w:pStyle w:val="BodyText"/>
        <w:spacing w:before="0"/>
        <w:ind w:left="0" w:right="0"/>
        <w:jc w:val="left"/>
        <w:rPr>
          <w:sz w:val="20"/>
        </w:rPr>
      </w:pPr>
    </w:p>
    <w:p w:rsidR="004B28D4" w:rsidRPr="00EA7926" w:rsidRDefault="004B28D4" w:rsidP="004B28D4">
      <w:pPr>
        <w:pStyle w:val="BodyText"/>
        <w:spacing w:before="2"/>
        <w:ind w:left="0" w:right="0"/>
        <w:jc w:val="left"/>
        <w:rPr>
          <w:sz w:val="22"/>
        </w:rPr>
      </w:pPr>
    </w:p>
    <w:p w:rsidR="004B28D4" w:rsidRPr="00EA7926" w:rsidRDefault="004B28D4" w:rsidP="004B28D4">
      <w:pPr>
        <w:pStyle w:val="BodyText"/>
        <w:spacing w:before="90"/>
        <w:ind w:left="6072" w:right="0"/>
        <w:jc w:val="left"/>
      </w:pPr>
      <w:r w:rsidRPr="00EA7926">
        <w:t>Брисел, 8.11.2023</w:t>
      </w:r>
    </w:p>
    <w:p w:rsidR="004B28D4" w:rsidRPr="00EA7926" w:rsidRDefault="004B28D4" w:rsidP="004B28D4">
      <w:pPr>
        <w:pStyle w:val="BodyText"/>
        <w:spacing w:before="0"/>
        <w:ind w:left="6072" w:right="0"/>
        <w:jc w:val="left"/>
      </w:pPr>
      <w:r w:rsidRPr="00EA7926">
        <w:t>СВД(2023) 693 последна верзија</w:t>
      </w:r>
    </w:p>
    <w:p w:rsidR="004B28D4" w:rsidRPr="00EA7926" w:rsidRDefault="004B28D4" w:rsidP="004B28D4">
      <w:pPr>
        <w:pStyle w:val="BodyText"/>
        <w:spacing w:before="0"/>
        <w:ind w:left="0" w:right="0"/>
        <w:jc w:val="left"/>
        <w:rPr>
          <w:sz w:val="26"/>
        </w:rPr>
      </w:pPr>
    </w:p>
    <w:p w:rsidR="004B28D4" w:rsidRPr="00EA7926" w:rsidRDefault="004B28D4" w:rsidP="004B28D4">
      <w:pPr>
        <w:pStyle w:val="BodyText"/>
        <w:spacing w:before="2"/>
        <w:ind w:left="0" w:right="0"/>
        <w:jc w:val="center"/>
        <w:rPr>
          <w:sz w:val="28"/>
        </w:rPr>
      </w:pPr>
    </w:p>
    <w:p w:rsidR="004B28D4" w:rsidRPr="00EA7926" w:rsidRDefault="004B28D4" w:rsidP="004B28D4">
      <w:pPr>
        <w:jc w:val="center"/>
        <w:rPr>
          <w:rFonts w:ascii="Times New Roman" w:hAnsi="Times New Roman"/>
          <w:sz w:val="28"/>
        </w:rPr>
      </w:pPr>
      <w:r w:rsidRPr="00EA7926">
        <w:rPr>
          <w:rFonts w:ascii="Times New Roman" w:hAnsi="Times New Roman"/>
          <w:sz w:val="28"/>
        </w:rPr>
        <w:t>РАБОТЕН ДОКУМЕНТ НА СЛУЖБИТЕ НА КОМИСИЈАТА</w:t>
      </w:r>
    </w:p>
    <w:p w:rsidR="004B28D4" w:rsidRPr="00EA7926" w:rsidRDefault="004B28D4" w:rsidP="004B28D4">
      <w:pPr>
        <w:jc w:val="center"/>
        <w:rPr>
          <w:rFonts w:ascii="Times New Roman" w:hAnsi="Times New Roman"/>
          <w:sz w:val="28"/>
        </w:rPr>
      </w:pPr>
      <w:r w:rsidRPr="00EA7926">
        <w:rPr>
          <w:rFonts w:ascii="Times New Roman" w:hAnsi="Times New Roman"/>
          <w:sz w:val="28"/>
        </w:rPr>
        <w:t>Извештај за Северна Македонија за 2023 година</w:t>
      </w:r>
    </w:p>
    <w:p w:rsidR="004B28D4" w:rsidRPr="00EA7926" w:rsidRDefault="004B28D4" w:rsidP="004B28D4">
      <w:pPr>
        <w:ind w:left="1213" w:right="1187"/>
        <w:jc w:val="center"/>
        <w:rPr>
          <w:rFonts w:ascii="Times New Roman" w:hAnsi="Times New Roman"/>
          <w:b/>
          <w:i/>
          <w:sz w:val="24"/>
        </w:rPr>
      </w:pPr>
      <w:r w:rsidRPr="00EA7926">
        <w:rPr>
          <w:rFonts w:ascii="Times New Roman" w:hAnsi="Times New Roman"/>
          <w:b/>
          <w:i/>
          <w:sz w:val="24"/>
        </w:rPr>
        <w:t>Во прилог на</w:t>
      </w:r>
    </w:p>
    <w:p w:rsidR="004B28D4" w:rsidRPr="00EA7926" w:rsidRDefault="004B28D4" w:rsidP="004B28D4">
      <w:pPr>
        <w:jc w:val="center"/>
        <w:rPr>
          <w:rFonts w:ascii="Times New Roman" w:hAnsi="Times New Roman"/>
          <w:b/>
          <w:sz w:val="24"/>
        </w:rPr>
      </w:pPr>
      <w:r w:rsidRPr="00EA7926">
        <w:rPr>
          <w:rFonts w:ascii="Times New Roman" w:hAnsi="Times New Roman"/>
          <w:b/>
          <w:sz w:val="24"/>
        </w:rPr>
        <w:t xml:space="preserve">Комуникацијата на Комисијата до Европскиот парламент, Советот, Европскиот економско-социјален комитет и </w:t>
      </w:r>
      <w:r w:rsidR="00EA7926">
        <w:rPr>
          <w:rFonts w:ascii="Times New Roman" w:hAnsi="Times New Roman"/>
          <w:b/>
          <w:sz w:val="24"/>
        </w:rPr>
        <w:t xml:space="preserve">до </w:t>
      </w:r>
      <w:r w:rsidRPr="00EA7926">
        <w:rPr>
          <w:rFonts w:ascii="Times New Roman" w:hAnsi="Times New Roman"/>
          <w:b/>
          <w:sz w:val="24"/>
        </w:rPr>
        <w:t>Комитетот на регионите</w:t>
      </w:r>
    </w:p>
    <w:p w:rsidR="004B28D4" w:rsidRPr="00EA7926" w:rsidRDefault="004B28D4" w:rsidP="004B28D4">
      <w:pPr>
        <w:pStyle w:val="BodyText"/>
        <w:spacing w:before="10"/>
        <w:ind w:left="0" w:right="0"/>
        <w:jc w:val="left"/>
        <w:rPr>
          <w:b/>
          <w:sz w:val="20"/>
        </w:rPr>
      </w:pPr>
    </w:p>
    <w:p w:rsidR="004B28D4" w:rsidRPr="00EA7926" w:rsidRDefault="004B28D4" w:rsidP="004B28D4">
      <w:pPr>
        <w:ind w:left="1210" w:right="1187"/>
        <w:jc w:val="center"/>
        <w:rPr>
          <w:rFonts w:ascii="Times New Roman" w:hAnsi="Times New Roman"/>
          <w:b/>
          <w:sz w:val="24"/>
        </w:rPr>
      </w:pPr>
      <w:r w:rsidRPr="00EA7926">
        <w:rPr>
          <w:rFonts w:ascii="Times New Roman" w:hAnsi="Times New Roman"/>
          <w:b/>
          <w:sz w:val="24"/>
        </w:rPr>
        <w:t xml:space="preserve">Комуникација </w:t>
      </w:r>
      <w:r w:rsidR="004004ED">
        <w:rPr>
          <w:rFonts w:ascii="Times New Roman" w:hAnsi="Times New Roman"/>
          <w:b/>
          <w:sz w:val="24"/>
        </w:rPr>
        <w:t>з</w:t>
      </w:r>
      <w:r w:rsidR="004004ED" w:rsidRPr="00EA7926">
        <w:rPr>
          <w:rFonts w:ascii="Times New Roman" w:hAnsi="Times New Roman"/>
          <w:b/>
          <w:sz w:val="24"/>
        </w:rPr>
        <w:t xml:space="preserve">а </w:t>
      </w:r>
      <w:r w:rsidRPr="00EA7926">
        <w:rPr>
          <w:rFonts w:ascii="Times New Roman" w:hAnsi="Times New Roman"/>
          <w:b/>
          <w:sz w:val="24"/>
        </w:rPr>
        <w:t xml:space="preserve">Политиката за </w:t>
      </w:r>
      <w:r w:rsidRPr="007E0AA8">
        <w:rPr>
          <w:rFonts w:ascii="Times New Roman" w:hAnsi="Times New Roman"/>
          <w:b/>
          <w:sz w:val="24"/>
        </w:rPr>
        <w:t>проширување</w:t>
      </w:r>
      <w:r w:rsidRPr="00EA7926">
        <w:rPr>
          <w:rFonts w:ascii="Times New Roman" w:hAnsi="Times New Roman"/>
          <w:b/>
          <w:sz w:val="24"/>
        </w:rPr>
        <w:t xml:space="preserve"> на ЕУ за 2023 година</w:t>
      </w:r>
    </w:p>
    <w:p w:rsidR="004B28D4" w:rsidRPr="00EA7926" w:rsidRDefault="004B28D4" w:rsidP="004B28D4">
      <w:pPr>
        <w:pStyle w:val="BodyText"/>
        <w:spacing w:before="10"/>
        <w:ind w:left="426" w:right="0"/>
        <w:jc w:val="left"/>
        <w:rPr>
          <w:b/>
          <w:sz w:val="26"/>
        </w:rPr>
      </w:pPr>
      <w:bookmarkStart w:id="0" w:name="_GoBack"/>
      <w:bookmarkEnd w:id="0"/>
    </w:p>
    <w:p w:rsidR="004B28D4" w:rsidRPr="00EA7926" w:rsidRDefault="004B28D4" w:rsidP="004B28D4">
      <w:pPr>
        <w:pStyle w:val="BodyText"/>
        <w:spacing w:before="0"/>
        <w:ind w:left="426" w:right="524"/>
        <w:jc w:val="center"/>
      </w:pPr>
      <w:r w:rsidRPr="00EA7926">
        <w:t>{КОМ(2023) 690 последна верзија} - {СВД(2023) 690 последна верзија} - {СВД(2023) 691 последна верзија} -</w:t>
      </w:r>
    </w:p>
    <w:p w:rsidR="004B28D4" w:rsidRPr="00EA7926" w:rsidRDefault="004B28D4" w:rsidP="004B28D4">
      <w:pPr>
        <w:pStyle w:val="BodyText"/>
        <w:spacing w:before="0" w:line="275" w:lineRule="exact"/>
        <w:ind w:left="142" w:right="98"/>
        <w:jc w:val="center"/>
      </w:pPr>
      <w:r w:rsidRPr="00EA7926">
        <w:t>{СВД(2023) 692 последна верзија} - {СВД(2023) 694 последна верзија} - {СВД(2023) 695 последна верзија} -</w:t>
      </w:r>
    </w:p>
    <w:p w:rsidR="004B28D4" w:rsidRPr="00EA7926" w:rsidRDefault="004B28D4" w:rsidP="004B28D4">
      <w:pPr>
        <w:pStyle w:val="BodyText"/>
        <w:spacing w:before="0" w:line="275" w:lineRule="exact"/>
        <w:ind w:left="142" w:right="98"/>
        <w:jc w:val="center"/>
      </w:pPr>
      <w:r w:rsidRPr="00EA7926">
        <w:t>{СВД(2023) 696 последна верзија} - {СВД(2023) 697 последна верзија} - {СВД(2023) 698 последна верзија} -</w:t>
      </w:r>
    </w:p>
    <w:p w:rsidR="004B28D4" w:rsidRPr="00EA7926" w:rsidRDefault="004B28D4" w:rsidP="004B28D4">
      <w:pPr>
        <w:pStyle w:val="BodyText"/>
        <w:spacing w:before="0"/>
        <w:ind w:left="1214" w:right="1130"/>
        <w:jc w:val="center"/>
      </w:pPr>
      <w:r w:rsidRPr="00EA7926">
        <w:t>{СВД(2023) 699 последна верзија}</w:t>
      </w:r>
    </w:p>
    <w:p w:rsidR="004B28D4" w:rsidRPr="00EA7926" w:rsidRDefault="004B28D4" w:rsidP="004B28D4">
      <w:pPr>
        <w:pStyle w:val="Title"/>
        <w:rPr>
          <w:rFonts w:ascii="Times New Roman" w:hAnsi="Times New Roman"/>
          <w:color w:val="auto"/>
          <w:sz w:val="36"/>
        </w:rPr>
      </w:pPr>
      <w:r w:rsidRPr="00EA7926">
        <w:rPr>
          <w:rFonts w:ascii="Times New Roman" w:hAnsi="Times New Roman"/>
          <w:color w:val="auto"/>
          <w:sz w:val="36"/>
        </w:rPr>
        <w:br/>
      </w:r>
      <w:r w:rsidRPr="00EA7926">
        <w:rPr>
          <w:rFonts w:ascii="Times New Roman" w:hAnsi="Times New Roman"/>
          <w:color w:val="auto"/>
          <w:sz w:val="36"/>
        </w:rPr>
        <w:br/>
        <w:t>МК</w:t>
      </w:r>
      <w:r w:rsidR="006B2E1F" w:rsidRPr="002C1B59">
        <w:rPr>
          <w:rFonts w:ascii="Times New Roman" w:hAnsi="Times New Roman"/>
          <w:color w:val="auto"/>
          <w:sz w:val="36"/>
        </w:rPr>
        <w:tab/>
        <w:t xml:space="preserve">                                                                                 </w:t>
      </w:r>
      <w:r w:rsidR="006B2E1F" w:rsidRPr="00EA7926">
        <w:rPr>
          <w:rFonts w:ascii="Times New Roman" w:hAnsi="Times New Roman"/>
          <w:color w:val="auto"/>
          <w:sz w:val="36"/>
        </w:rPr>
        <w:t>МК</w:t>
      </w:r>
    </w:p>
    <w:p w:rsidR="004B28D4" w:rsidRPr="00EA7926" w:rsidRDefault="004B28D4" w:rsidP="004B28D4">
      <w:pPr>
        <w:shd w:val="clear" w:color="auto" w:fill="FFFFFF"/>
        <w:spacing w:before="120" w:after="120" w:line="240" w:lineRule="auto"/>
        <w:jc w:val="center"/>
        <w:rPr>
          <w:rFonts w:ascii="Times New Roman" w:hAnsi="Times New Roman"/>
          <w:sz w:val="24"/>
          <w:szCs w:val="24"/>
        </w:rPr>
      </w:pPr>
      <w:r w:rsidRPr="00EA7926">
        <w:rPr>
          <w:rFonts w:ascii="Times New Roman" w:hAnsi="Times New Roman"/>
          <w:sz w:val="24"/>
        </w:rPr>
        <w:lastRenderedPageBreak/>
        <w:t>Содржина</w:t>
      </w:r>
    </w:p>
    <w:p w:rsidR="004B28D4" w:rsidRPr="00EA7926" w:rsidRDefault="004B28D4" w:rsidP="004B28D4">
      <w:pPr>
        <w:pStyle w:val="TOCHeading"/>
        <w:rPr>
          <w:rFonts w:ascii="Times New Roman" w:hAnsi="Times New Roman"/>
        </w:rPr>
      </w:pPr>
    </w:p>
    <w:p w:rsidR="00397C4A" w:rsidRPr="00796994" w:rsidRDefault="004B28D4">
      <w:pPr>
        <w:pStyle w:val="TOC1"/>
        <w:rPr>
          <w:rFonts w:ascii="Times New Roman" w:eastAsiaTheme="minorEastAsia" w:hAnsi="Times New Roman"/>
          <w:noProof/>
          <w:lang w:eastAsia="mk-MK"/>
        </w:rPr>
      </w:pPr>
      <w:r w:rsidRPr="00EA7926">
        <w:fldChar w:fldCharType="begin"/>
      </w:r>
      <w:r w:rsidRPr="00EA7926">
        <w:instrText xml:space="preserve"> TOC \o "1-3" \h \z \u </w:instrText>
      </w:r>
      <w:r w:rsidRPr="00EA7926">
        <w:fldChar w:fldCharType="separate"/>
      </w:r>
      <w:hyperlink w:anchor="_Toc150864240" w:history="1">
        <w:r w:rsidR="00397C4A" w:rsidRPr="00796994">
          <w:rPr>
            <w:rStyle w:val="Hyperlink"/>
            <w:rFonts w:ascii="Times New Roman" w:hAnsi="Times New Roman"/>
            <w:noProof/>
          </w:rPr>
          <w:t>1.</w:t>
        </w:r>
        <w:r w:rsidR="00397C4A" w:rsidRPr="00796994">
          <w:rPr>
            <w:rFonts w:ascii="Times New Roman" w:eastAsiaTheme="minorEastAsia" w:hAnsi="Times New Roman"/>
            <w:noProof/>
            <w:lang w:eastAsia="mk-MK"/>
          </w:rPr>
          <w:tab/>
        </w:r>
        <w:r w:rsidR="00397C4A" w:rsidRPr="00796994">
          <w:rPr>
            <w:rStyle w:val="Hyperlink"/>
            <w:rFonts w:ascii="Times New Roman" w:hAnsi="Times New Roman"/>
            <w:noProof/>
          </w:rPr>
          <w:t>ВОВЕД</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_Toc150864240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4</w:t>
        </w:r>
        <w:r w:rsidR="00397C4A" w:rsidRPr="00796994">
          <w:rPr>
            <w:rFonts w:ascii="Times New Roman" w:hAnsi="Times New Roman"/>
            <w:noProof/>
            <w:webHidden/>
          </w:rPr>
          <w:fldChar w:fldCharType="end"/>
        </w:r>
      </w:hyperlink>
    </w:p>
    <w:p w:rsidR="00397C4A" w:rsidRPr="00796994" w:rsidRDefault="00E04633">
      <w:pPr>
        <w:pStyle w:val="TOC2"/>
        <w:tabs>
          <w:tab w:val="left" w:pos="880"/>
        </w:tabs>
        <w:rPr>
          <w:rFonts w:ascii="Times New Roman" w:eastAsiaTheme="minorEastAsia" w:hAnsi="Times New Roman"/>
          <w:noProof/>
          <w:lang w:eastAsia="mk-MK"/>
        </w:rPr>
      </w:pPr>
      <w:hyperlink w:anchor="_Toc150864241" w:history="1">
        <w:r w:rsidR="00397C4A" w:rsidRPr="00796994">
          <w:rPr>
            <w:rStyle w:val="Hyperlink"/>
            <w:rFonts w:ascii="Times New Roman" w:hAnsi="Times New Roman"/>
            <w:noProof/>
          </w:rPr>
          <w:t>1.1.</w:t>
        </w:r>
        <w:r w:rsidR="00397C4A" w:rsidRPr="00796994">
          <w:rPr>
            <w:rFonts w:ascii="Times New Roman" w:eastAsiaTheme="minorEastAsia" w:hAnsi="Times New Roman"/>
            <w:noProof/>
            <w:lang w:eastAsia="mk-MK"/>
          </w:rPr>
          <w:tab/>
        </w:r>
        <w:r w:rsidR="00397C4A" w:rsidRPr="00796994">
          <w:rPr>
            <w:rStyle w:val="Hyperlink"/>
            <w:rFonts w:ascii="Times New Roman" w:hAnsi="Times New Roman"/>
            <w:noProof/>
          </w:rPr>
          <w:t>Контекст</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_Toc150864241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4</w:t>
        </w:r>
        <w:r w:rsidR="00397C4A" w:rsidRPr="00796994">
          <w:rPr>
            <w:rFonts w:ascii="Times New Roman" w:hAnsi="Times New Roman"/>
            <w:noProof/>
            <w:webHidden/>
          </w:rPr>
          <w:fldChar w:fldCharType="end"/>
        </w:r>
      </w:hyperlink>
    </w:p>
    <w:p w:rsidR="00397C4A" w:rsidRPr="00796994" w:rsidRDefault="00E04633">
      <w:pPr>
        <w:pStyle w:val="TOC2"/>
        <w:tabs>
          <w:tab w:val="left" w:pos="880"/>
        </w:tabs>
        <w:rPr>
          <w:rFonts w:ascii="Times New Roman" w:eastAsiaTheme="minorEastAsia" w:hAnsi="Times New Roman"/>
          <w:noProof/>
          <w:lang w:eastAsia="mk-MK"/>
        </w:rPr>
      </w:pPr>
      <w:hyperlink w:anchor="_Toc150864242" w:history="1">
        <w:r w:rsidR="00397C4A" w:rsidRPr="00796994">
          <w:rPr>
            <w:rStyle w:val="Hyperlink"/>
            <w:rFonts w:ascii="Times New Roman" w:hAnsi="Times New Roman"/>
            <w:noProof/>
          </w:rPr>
          <w:t>1.2.</w:t>
        </w:r>
        <w:r w:rsidR="00397C4A" w:rsidRPr="00796994">
          <w:rPr>
            <w:rFonts w:ascii="Times New Roman" w:eastAsiaTheme="minorEastAsia" w:hAnsi="Times New Roman"/>
            <w:noProof/>
            <w:lang w:eastAsia="mk-MK"/>
          </w:rPr>
          <w:tab/>
        </w:r>
        <w:r w:rsidR="00397C4A" w:rsidRPr="00796994">
          <w:rPr>
            <w:rStyle w:val="Hyperlink"/>
            <w:rFonts w:ascii="Times New Roman" w:hAnsi="Times New Roman"/>
            <w:noProof/>
          </w:rPr>
          <w:t>Резиме на Извештајот</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_Toc150864242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4</w:t>
        </w:r>
        <w:r w:rsidR="00397C4A" w:rsidRPr="00796994">
          <w:rPr>
            <w:rFonts w:ascii="Times New Roman" w:hAnsi="Times New Roman"/>
            <w:noProof/>
            <w:webHidden/>
          </w:rPr>
          <w:fldChar w:fldCharType="end"/>
        </w:r>
      </w:hyperlink>
    </w:p>
    <w:p w:rsidR="00397C4A" w:rsidRPr="00796994" w:rsidRDefault="00E04633">
      <w:pPr>
        <w:pStyle w:val="TOC2"/>
        <w:tabs>
          <w:tab w:val="left" w:pos="880"/>
        </w:tabs>
        <w:rPr>
          <w:rFonts w:ascii="Times New Roman" w:eastAsiaTheme="minorEastAsia" w:hAnsi="Times New Roman"/>
          <w:noProof/>
          <w:lang w:eastAsia="mk-MK"/>
        </w:rPr>
      </w:pPr>
      <w:hyperlink w:anchor="_Toc150864243" w:history="1">
        <w:r w:rsidR="00397C4A" w:rsidRPr="00796994">
          <w:rPr>
            <w:rStyle w:val="Hyperlink"/>
            <w:rFonts w:ascii="Times New Roman" w:hAnsi="Times New Roman"/>
            <w:noProof/>
          </w:rPr>
          <w:t>1.3.</w:t>
        </w:r>
        <w:r w:rsidR="00397C4A" w:rsidRPr="00796994">
          <w:rPr>
            <w:rFonts w:ascii="Times New Roman" w:eastAsiaTheme="minorEastAsia" w:hAnsi="Times New Roman"/>
            <w:noProof/>
            <w:lang w:eastAsia="mk-MK"/>
          </w:rPr>
          <w:tab/>
        </w:r>
        <w:r w:rsidR="00397C4A" w:rsidRPr="00796994">
          <w:rPr>
            <w:rStyle w:val="Hyperlink"/>
            <w:rFonts w:ascii="Times New Roman" w:hAnsi="Times New Roman"/>
            <w:noProof/>
          </w:rPr>
          <w:t>Актуелна состојба со пристапните преговори</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_Toc150864243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10</w:t>
        </w:r>
        <w:r w:rsidR="00397C4A" w:rsidRPr="00796994">
          <w:rPr>
            <w:rFonts w:ascii="Times New Roman" w:hAnsi="Times New Roman"/>
            <w:noProof/>
            <w:webHidden/>
          </w:rPr>
          <w:fldChar w:fldCharType="end"/>
        </w:r>
      </w:hyperlink>
    </w:p>
    <w:p w:rsidR="00397C4A" w:rsidRPr="00796994" w:rsidRDefault="00E04633">
      <w:pPr>
        <w:pStyle w:val="TOC1"/>
        <w:rPr>
          <w:rFonts w:ascii="Times New Roman" w:eastAsiaTheme="minorEastAsia" w:hAnsi="Times New Roman"/>
          <w:noProof/>
          <w:lang w:eastAsia="mk-MK"/>
        </w:rPr>
      </w:pPr>
      <w:hyperlink w:anchor="_Toc150864244" w:history="1">
        <w:r w:rsidR="00397C4A" w:rsidRPr="00796994">
          <w:rPr>
            <w:rStyle w:val="Hyperlink"/>
            <w:rFonts w:ascii="Times New Roman" w:hAnsi="Times New Roman"/>
            <w:noProof/>
          </w:rPr>
          <w:t>2.</w:t>
        </w:r>
        <w:r w:rsidR="00397C4A" w:rsidRPr="00796994">
          <w:rPr>
            <w:rFonts w:ascii="Times New Roman" w:eastAsiaTheme="minorEastAsia" w:hAnsi="Times New Roman"/>
            <w:noProof/>
            <w:lang w:eastAsia="mk-MK"/>
          </w:rPr>
          <w:tab/>
        </w:r>
        <w:r w:rsidR="00397C4A" w:rsidRPr="00796994">
          <w:rPr>
            <w:rStyle w:val="Hyperlink"/>
            <w:rFonts w:ascii="Times New Roman" w:hAnsi="Times New Roman"/>
            <w:noProof/>
          </w:rPr>
          <w:t>КЛАСТЕР 1: ФУНДАМЕНТАЛНИ ВРЕДНОСТИ НА ПРИСТАПНИОТ ПРОЦЕС</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_Toc150864244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11</w:t>
        </w:r>
        <w:r w:rsidR="00397C4A" w:rsidRPr="00796994">
          <w:rPr>
            <w:rFonts w:ascii="Times New Roman" w:hAnsi="Times New Roman"/>
            <w:noProof/>
            <w:webHidden/>
          </w:rPr>
          <w:fldChar w:fldCharType="end"/>
        </w:r>
      </w:hyperlink>
    </w:p>
    <w:p w:rsidR="00397C4A" w:rsidRPr="00796994" w:rsidRDefault="00E04633">
      <w:pPr>
        <w:pStyle w:val="TOC2"/>
        <w:tabs>
          <w:tab w:val="left" w:pos="880"/>
        </w:tabs>
        <w:rPr>
          <w:rFonts w:ascii="Times New Roman" w:eastAsiaTheme="minorEastAsia" w:hAnsi="Times New Roman"/>
          <w:noProof/>
          <w:lang w:eastAsia="mk-MK"/>
        </w:rPr>
      </w:pPr>
      <w:hyperlink w:anchor="_Toc150864245" w:history="1">
        <w:r w:rsidR="00397C4A" w:rsidRPr="00796994">
          <w:rPr>
            <w:rStyle w:val="Hyperlink"/>
            <w:rFonts w:ascii="Times New Roman" w:hAnsi="Times New Roman"/>
            <w:noProof/>
          </w:rPr>
          <w:t>2.1.</w:t>
        </w:r>
        <w:r w:rsidR="00397C4A" w:rsidRPr="00796994">
          <w:rPr>
            <w:rFonts w:ascii="Times New Roman" w:eastAsiaTheme="minorEastAsia" w:hAnsi="Times New Roman"/>
            <w:noProof/>
            <w:lang w:eastAsia="mk-MK"/>
          </w:rPr>
          <w:tab/>
        </w:r>
        <w:r w:rsidR="00397C4A" w:rsidRPr="00796994">
          <w:rPr>
            <w:rStyle w:val="Hyperlink"/>
            <w:rFonts w:ascii="Times New Roman" w:hAnsi="Times New Roman"/>
            <w:noProof/>
          </w:rPr>
          <w:t>Функционирање на демократските институции и реформата на јавната администрација</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_Toc150864245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11</w:t>
        </w:r>
        <w:r w:rsidR="00397C4A" w:rsidRPr="00796994">
          <w:rPr>
            <w:rFonts w:ascii="Times New Roman" w:hAnsi="Times New Roman"/>
            <w:noProof/>
            <w:webHidden/>
          </w:rPr>
          <w:fldChar w:fldCharType="end"/>
        </w:r>
      </w:hyperlink>
    </w:p>
    <w:p w:rsidR="00397C4A" w:rsidRPr="00796994" w:rsidRDefault="00E04633">
      <w:pPr>
        <w:pStyle w:val="TOC2"/>
        <w:tabs>
          <w:tab w:val="left" w:pos="1100"/>
        </w:tabs>
        <w:rPr>
          <w:rFonts w:ascii="Times New Roman" w:eastAsiaTheme="minorEastAsia" w:hAnsi="Times New Roman"/>
          <w:noProof/>
          <w:lang w:eastAsia="mk-MK"/>
        </w:rPr>
      </w:pPr>
      <w:hyperlink w:anchor="_Toc150864246" w:history="1">
        <w:r w:rsidR="00397C4A" w:rsidRPr="00796994">
          <w:rPr>
            <w:rStyle w:val="Hyperlink"/>
            <w:rFonts w:ascii="Times New Roman" w:hAnsi="Times New Roman"/>
            <w:noProof/>
          </w:rPr>
          <w:t>2.1.1.</w:t>
        </w:r>
        <w:r w:rsidR="00397C4A" w:rsidRPr="00796994">
          <w:rPr>
            <w:rFonts w:ascii="Times New Roman" w:eastAsiaTheme="minorEastAsia" w:hAnsi="Times New Roman"/>
            <w:noProof/>
            <w:lang w:eastAsia="mk-MK"/>
          </w:rPr>
          <w:tab/>
        </w:r>
        <w:r w:rsidR="00397C4A" w:rsidRPr="00796994">
          <w:rPr>
            <w:rStyle w:val="Hyperlink"/>
            <w:rFonts w:ascii="Times New Roman" w:hAnsi="Times New Roman"/>
            <w:noProof/>
          </w:rPr>
          <w:t>Демократија</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_Toc150864246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11</w:t>
        </w:r>
        <w:r w:rsidR="00397C4A" w:rsidRPr="00796994">
          <w:rPr>
            <w:rFonts w:ascii="Times New Roman" w:hAnsi="Times New Roman"/>
            <w:noProof/>
            <w:webHidden/>
          </w:rPr>
          <w:fldChar w:fldCharType="end"/>
        </w:r>
      </w:hyperlink>
    </w:p>
    <w:p w:rsidR="00397C4A" w:rsidRPr="00796994" w:rsidRDefault="00E04633">
      <w:pPr>
        <w:pStyle w:val="TOC2"/>
        <w:tabs>
          <w:tab w:val="left" w:pos="1100"/>
        </w:tabs>
        <w:rPr>
          <w:rFonts w:ascii="Times New Roman" w:eastAsiaTheme="minorEastAsia" w:hAnsi="Times New Roman"/>
          <w:noProof/>
          <w:lang w:eastAsia="mk-MK"/>
        </w:rPr>
      </w:pPr>
      <w:hyperlink w:anchor="_Toc150864247" w:history="1">
        <w:r w:rsidR="00397C4A" w:rsidRPr="00796994">
          <w:rPr>
            <w:rStyle w:val="Hyperlink"/>
            <w:rFonts w:ascii="Times New Roman" w:hAnsi="Times New Roman"/>
            <w:noProof/>
          </w:rPr>
          <w:t>2.1.2.</w:t>
        </w:r>
        <w:r w:rsidR="00397C4A" w:rsidRPr="00796994">
          <w:rPr>
            <w:rFonts w:ascii="Times New Roman" w:eastAsiaTheme="minorEastAsia" w:hAnsi="Times New Roman"/>
            <w:noProof/>
            <w:lang w:eastAsia="mk-MK"/>
          </w:rPr>
          <w:tab/>
        </w:r>
        <w:r w:rsidR="00397C4A" w:rsidRPr="00796994">
          <w:rPr>
            <w:rStyle w:val="Hyperlink"/>
            <w:rFonts w:ascii="Times New Roman" w:hAnsi="Times New Roman"/>
            <w:noProof/>
          </w:rPr>
          <w:t>Реформа на јавната администрација</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_Toc150864247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16</w:t>
        </w:r>
        <w:r w:rsidR="00397C4A" w:rsidRPr="00796994">
          <w:rPr>
            <w:rFonts w:ascii="Times New Roman" w:hAnsi="Times New Roman"/>
            <w:noProof/>
            <w:webHidden/>
          </w:rPr>
          <w:fldChar w:fldCharType="end"/>
        </w:r>
      </w:hyperlink>
    </w:p>
    <w:p w:rsidR="00397C4A" w:rsidRPr="00796994" w:rsidRDefault="00E04633">
      <w:pPr>
        <w:pStyle w:val="TOC2"/>
        <w:tabs>
          <w:tab w:val="left" w:pos="880"/>
        </w:tabs>
        <w:rPr>
          <w:rFonts w:ascii="Times New Roman" w:eastAsiaTheme="minorEastAsia" w:hAnsi="Times New Roman"/>
          <w:noProof/>
          <w:lang w:eastAsia="mk-MK"/>
        </w:rPr>
      </w:pPr>
      <w:hyperlink w:anchor="_Toc150864248" w:history="1">
        <w:r w:rsidR="00397C4A" w:rsidRPr="00796994">
          <w:rPr>
            <w:rStyle w:val="Hyperlink"/>
            <w:rFonts w:ascii="Times New Roman" w:hAnsi="Times New Roman"/>
            <w:noProof/>
          </w:rPr>
          <w:t>2.2.</w:t>
        </w:r>
        <w:r w:rsidR="00397C4A" w:rsidRPr="00796994">
          <w:rPr>
            <w:rFonts w:ascii="Times New Roman" w:eastAsiaTheme="minorEastAsia" w:hAnsi="Times New Roman"/>
            <w:noProof/>
            <w:lang w:eastAsia="mk-MK"/>
          </w:rPr>
          <w:tab/>
        </w:r>
        <w:r w:rsidR="00397C4A" w:rsidRPr="00796994">
          <w:rPr>
            <w:rStyle w:val="Hyperlink"/>
            <w:rFonts w:ascii="Times New Roman" w:hAnsi="Times New Roman"/>
            <w:noProof/>
          </w:rPr>
          <w:t>Владеење на правото и фундаментални права</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_Toc150864248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20</w:t>
        </w:r>
        <w:r w:rsidR="00397C4A" w:rsidRPr="00796994">
          <w:rPr>
            <w:rFonts w:ascii="Times New Roman" w:hAnsi="Times New Roman"/>
            <w:noProof/>
            <w:webHidden/>
          </w:rPr>
          <w:fldChar w:fldCharType="end"/>
        </w:r>
      </w:hyperlink>
    </w:p>
    <w:p w:rsidR="00397C4A" w:rsidRPr="00796994" w:rsidRDefault="00E04633">
      <w:pPr>
        <w:pStyle w:val="TOC2"/>
        <w:tabs>
          <w:tab w:val="left" w:pos="1100"/>
        </w:tabs>
        <w:rPr>
          <w:rFonts w:ascii="Times New Roman" w:eastAsiaTheme="minorEastAsia" w:hAnsi="Times New Roman"/>
          <w:noProof/>
          <w:lang w:eastAsia="mk-MK"/>
        </w:rPr>
      </w:pPr>
      <w:hyperlink w:anchor="_Toc150864249" w:history="1">
        <w:r w:rsidR="00397C4A" w:rsidRPr="00796994">
          <w:rPr>
            <w:rStyle w:val="Hyperlink"/>
            <w:rFonts w:ascii="Times New Roman" w:hAnsi="Times New Roman"/>
            <w:noProof/>
          </w:rPr>
          <w:t>2.2.1.</w:t>
        </w:r>
        <w:r w:rsidR="00397C4A" w:rsidRPr="00796994">
          <w:rPr>
            <w:rFonts w:ascii="Times New Roman" w:eastAsiaTheme="minorEastAsia" w:hAnsi="Times New Roman"/>
            <w:noProof/>
            <w:lang w:eastAsia="mk-MK"/>
          </w:rPr>
          <w:tab/>
        </w:r>
        <w:r w:rsidR="00397C4A" w:rsidRPr="00796994">
          <w:rPr>
            <w:rStyle w:val="Hyperlink"/>
            <w:rFonts w:ascii="Times New Roman" w:hAnsi="Times New Roman"/>
            <w:noProof/>
          </w:rPr>
          <w:t>Поглавје 23: Правосудство и фундаментални права</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_Toc150864249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20</w:t>
        </w:r>
        <w:r w:rsidR="00397C4A" w:rsidRPr="00796994">
          <w:rPr>
            <w:rFonts w:ascii="Times New Roman" w:hAnsi="Times New Roman"/>
            <w:noProof/>
            <w:webHidden/>
          </w:rPr>
          <w:fldChar w:fldCharType="end"/>
        </w:r>
      </w:hyperlink>
    </w:p>
    <w:p w:rsidR="00397C4A" w:rsidRPr="00796994" w:rsidRDefault="00E04633">
      <w:pPr>
        <w:pStyle w:val="TOC2"/>
        <w:tabs>
          <w:tab w:val="left" w:pos="1100"/>
        </w:tabs>
        <w:rPr>
          <w:rFonts w:ascii="Times New Roman" w:eastAsiaTheme="minorEastAsia" w:hAnsi="Times New Roman"/>
          <w:noProof/>
          <w:lang w:eastAsia="mk-MK"/>
        </w:rPr>
      </w:pPr>
      <w:hyperlink w:anchor="_Toc150864250" w:history="1">
        <w:r w:rsidR="00397C4A" w:rsidRPr="00796994">
          <w:rPr>
            <w:rStyle w:val="Hyperlink"/>
            <w:rFonts w:ascii="Times New Roman" w:hAnsi="Times New Roman"/>
            <w:noProof/>
          </w:rPr>
          <w:t>2.2.2.</w:t>
        </w:r>
        <w:r w:rsidR="00397C4A" w:rsidRPr="00796994">
          <w:rPr>
            <w:rFonts w:ascii="Times New Roman" w:eastAsiaTheme="minorEastAsia" w:hAnsi="Times New Roman"/>
            <w:noProof/>
            <w:lang w:eastAsia="mk-MK"/>
          </w:rPr>
          <w:tab/>
        </w:r>
        <w:r w:rsidR="00397C4A" w:rsidRPr="00796994">
          <w:rPr>
            <w:rStyle w:val="Hyperlink"/>
            <w:rFonts w:ascii="Times New Roman" w:hAnsi="Times New Roman"/>
            <w:noProof/>
          </w:rPr>
          <w:t>Поглавје 24: Правда, слобода и безбедност</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_Toc150864250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45</w:t>
        </w:r>
        <w:r w:rsidR="00397C4A" w:rsidRPr="00796994">
          <w:rPr>
            <w:rFonts w:ascii="Times New Roman" w:hAnsi="Times New Roman"/>
            <w:noProof/>
            <w:webHidden/>
          </w:rPr>
          <w:fldChar w:fldCharType="end"/>
        </w:r>
      </w:hyperlink>
    </w:p>
    <w:p w:rsidR="00397C4A" w:rsidRPr="00796994" w:rsidRDefault="00E04633">
      <w:pPr>
        <w:pStyle w:val="TOC2"/>
        <w:rPr>
          <w:rFonts w:ascii="Times New Roman" w:eastAsiaTheme="minorEastAsia" w:hAnsi="Times New Roman"/>
          <w:noProof/>
          <w:lang w:eastAsia="mk-MK"/>
        </w:rPr>
      </w:pPr>
      <w:hyperlink w:anchor="_Toc150864251" w:history="1">
        <w:r w:rsidR="00397C4A" w:rsidRPr="00796994">
          <w:rPr>
            <w:rStyle w:val="Hyperlink"/>
            <w:rFonts w:ascii="Times New Roman" w:hAnsi="Times New Roman"/>
            <w:noProof/>
          </w:rPr>
          <w:t>2.3. Економски критериуми</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_Toc150864251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61</w:t>
        </w:r>
        <w:r w:rsidR="00397C4A" w:rsidRPr="00796994">
          <w:rPr>
            <w:rFonts w:ascii="Times New Roman" w:hAnsi="Times New Roman"/>
            <w:noProof/>
            <w:webHidden/>
          </w:rPr>
          <w:fldChar w:fldCharType="end"/>
        </w:r>
      </w:hyperlink>
    </w:p>
    <w:p w:rsidR="00397C4A" w:rsidRPr="00796994" w:rsidRDefault="00E04633">
      <w:pPr>
        <w:pStyle w:val="TOC2"/>
        <w:rPr>
          <w:rFonts w:ascii="Times New Roman" w:eastAsiaTheme="minorEastAsia" w:hAnsi="Times New Roman"/>
          <w:noProof/>
          <w:lang w:eastAsia="mk-MK"/>
        </w:rPr>
      </w:pPr>
      <w:hyperlink w:anchor="_Toc150864252" w:history="1">
        <w:r w:rsidR="00397C4A" w:rsidRPr="00796994">
          <w:rPr>
            <w:rStyle w:val="Hyperlink"/>
            <w:rFonts w:ascii="Times New Roman" w:hAnsi="Times New Roman"/>
            <w:noProof/>
          </w:rPr>
          <w:t>2.3.1. Постоење функционална пазарна економија</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_Toc150864252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61</w:t>
        </w:r>
        <w:r w:rsidR="00397C4A" w:rsidRPr="00796994">
          <w:rPr>
            <w:rFonts w:ascii="Times New Roman" w:hAnsi="Times New Roman"/>
            <w:noProof/>
            <w:webHidden/>
          </w:rPr>
          <w:fldChar w:fldCharType="end"/>
        </w:r>
      </w:hyperlink>
    </w:p>
    <w:p w:rsidR="00397C4A" w:rsidRPr="00796994" w:rsidRDefault="00E04633">
      <w:pPr>
        <w:pStyle w:val="TOC2"/>
        <w:rPr>
          <w:rFonts w:ascii="Times New Roman" w:eastAsiaTheme="minorEastAsia" w:hAnsi="Times New Roman"/>
          <w:noProof/>
          <w:lang w:eastAsia="mk-MK"/>
        </w:rPr>
      </w:pPr>
      <w:hyperlink w:anchor="_Toc150864253" w:history="1">
        <w:r w:rsidR="00397C4A" w:rsidRPr="00796994">
          <w:rPr>
            <w:rStyle w:val="Hyperlink"/>
            <w:rFonts w:ascii="Times New Roman" w:hAnsi="Times New Roman"/>
            <w:noProof/>
          </w:rPr>
          <w:t>2.3.2. Капацитет за справување со конкурентскиот притисок и пазарните сили во Унијата</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_Toc150864253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72</w:t>
        </w:r>
        <w:r w:rsidR="00397C4A" w:rsidRPr="00796994">
          <w:rPr>
            <w:rFonts w:ascii="Times New Roman" w:hAnsi="Times New Roman"/>
            <w:noProof/>
            <w:webHidden/>
          </w:rPr>
          <w:fldChar w:fldCharType="end"/>
        </w:r>
      </w:hyperlink>
    </w:p>
    <w:p w:rsidR="00397C4A" w:rsidRPr="00796994" w:rsidRDefault="00E04633">
      <w:pPr>
        <w:pStyle w:val="TOC2"/>
        <w:rPr>
          <w:rFonts w:ascii="Times New Roman" w:eastAsiaTheme="minorEastAsia" w:hAnsi="Times New Roman"/>
          <w:noProof/>
          <w:lang w:eastAsia="mk-MK"/>
        </w:rPr>
      </w:pPr>
      <w:hyperlink w:anchor="_Toc150864254" w:history="1">
        <w:r w:rsidR="00397C4A" w:rsidRPr="00796994">
          <w:rPr>
            <w:rStyle w:val="Hyperlink"/>
            <w:rFonts w:ascii="Times New Roman" w:hAnsi="Times New Roman"/>
            <w:noProof/>
          </w:rPr>
          <w:t>2.4. Јавни набавки, статистика, финансиска контрола</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_Toc150864254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76</w:t>
        </w:r>
        <w:r w:rsidR="00397C4A" w:rsidRPr="00796994">
          <w:rPr>
            <w:rFonts w:ascii="Times New Roman" w:hAnsi="Times New Roman"/>
            <w:noProof/>
            <w:webHidden/>
          </w:rPr>
          <w:fldChar w:fldCharType="end"/>
        </w:r>
      </w:hyperlink>
    </w:p>
    <w:p w:rsidR="00397C4A" w:rsidRPr="00796994" w:rsidRDefault="00E04633">
      <w:pPr>
        <w:pStyle w:val="TOC2"/>
        <w:rPr>
          <w:rFonts w:ascii="Times New Roman" w:eastAsiaTheme="minorEastAsia" w:hAnsi="Times New Roman"/>
          <w:noProof/>
          <w:lang w:eastAsia="mk-MK"/>
        </w:rPr>
      </w:pPr>
      <w:hyperlink w:anchor="_Toc150864255" w:history="1">
        <w:r w:rsidR="00397C4A" w:rsidRPr="00796994">
          <w:rPr>
            <w:rStyle w:val="Hyperlink"/>
            <w:rFonts w:ascii="Times New Roman" w:hAnsi="Times New Roman"/>
            <w:noProof/>
          </w:rPr>
          <w:t>Поглавје 5: Јавни набавки</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_Toc150864255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76</w:t>
        </w:r>
        <w:r w:rsidR="00397C4A" w:rsidRPr="00796994">
          <w:rPr>
            <w:rFonts w:ascii="Times New Roman" w:hAnsi="Times New Roman"/>
            <w:noProof/>
            <w:webHidden/>
          </w:rPr>
          <w:fldChar w:fldCharType="end"/>
        </w:r>
      </w:hyperlink>
    </w:p>
    <w:p w:rsidR="00397C4A" w:rsidRPr="00796994" w:rsidRDefault="00E04633">
      <w:pPr>
        <w:pStyle w:val="TOC2"/>
        <w:rPr>
          <w:rFonts w:ascii="Times New Roman" w:eastAsiaTheme="minorEastAsia" w:hAnsi="Times New Roman"/>
          <w:noProof/>
          <w:lang w:eastAsia="mk-MK"/>
        </w:rPr>
      </w:pPr>
      <w:hyperlink w:anchor="_Toc150864256" w:history="1">
        <w:r w:rsidR="00397C4A" w:rsidRPr="00796994">
          <w:rPr>
            <w:rStyle w:val="Hyperlink"/>
            <w:rFonts w:ascii="Times New Roman" w:hAnsi="Times New Roman"/>
            <w:noProof/>
          </w:rPr>
          <w:t>Поглавје 18: Статистика</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_Toc150864256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79</w:t>
        </w:r>
        <w:r w:rsidR="00397C4A" w:rsidRPr="00796994">
          <w:rPr>
            <w:rFonts w:ascii="Times New Roman" w:hAnsi="Times New Roman"/>
            <w:noProof/>
            <w:webHidden/>
          </w:rPr>
          <w:fldChar w:fldCharType="end"/>
        </w:r>
      </w:hyperlink>
    </w:p>
    <w:p w:rsidR="00397C4A" w:rsidRPr="00796994" w:rsidRDefault="00E04633">
      <w:pPr>
        <w:pStyle w:val="TOC2"/>
        <w:rPr>
          <w:rFonts w:ascii="Times New Roman" w:eastAsiaTheme="minorEastAsia" w:hAnsi="Times New Roman"/>
          <w:noProof/>
          <w:lang w:eastAsia="mk-MK"/>
        </w:rPr>
      </w:pPr>
      <w:hyperlink w:anchor="_Toc150864257" w:history="1">
        <w:r w:rsidR="00397C4A" w:rsidRPr="00796994">
          <w:rPr>
            <w:rStyle w:val="Hyperlink"/>
            <w:rFonts w:ascii="Times New Roman" w:hAnsi="Times New Roman"/>
            <w:noProof/>
          </w:rPr>
          <w:t>Поглавје 32: Финансиска контрола</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_Toc150864257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81</w:t>
        </w:r>
        <w:r w:rsidR="00397C4A" w:rsidRPr="00796994">
          <w:rPr>
            <w:rFonts w:ascii="Times New Roman" w:hAnsi="Times New Roman"/>
            <w:noProof/>
            <w:webHidden/>
          </w:rPr>
          <w:fldChar w:fldCharType="end"/>
        </w:r>
      </w:hyperlink>
    </w:p>
    <w:p w:rsidR="00397C4A" w:rsidRPr="00796994" w:rsidRDefault="00E04633">
      <w:pPr>
        <w:pStyle w:val="TOC1"/>
        <w:rPr>
          <w:rFonts w:ascii="Times New Roman" w:eastAsiaTheme="minorEastAsia" w:hAnsi="Times New Roman"/>
          <w:noProof/>
          <w:lang w:eastAsia="mk-MK"/>
        </w:rPr>
      </w:pPr>
      <w:hyperlink w:anchor="_Toc150864258" w:history="1">
        <w:r w:rsidR="00397C4A" w:rsidRPr="00796994">
          <w:rPr>
            <w:rStyle w:val="Hyperlink"/>
            <w:rFonts w:ascii="Times New Roman" w:hAnsi="Times New Roman"/>
            <w:noProof/>
          </w:rPr>
          <w:t>3.</w:t>
        </w:r>
        <w:r w:rsidR="00397C4A" w:rsidRPr="00796994">
          <w:rPr>
            <w:rFonts w:ascii="Times New Roman" w:eastAsiaTheme="minorEastAsia" w:hAnsi="Times New Roman"/>
            <w:noProof/>
            <w:lang w:eastAsia="mk-MK"/>
          </w:rPr>
          <w:tab/>
        </w:r>
        <w:r w:rsidR="00397C4A" w:rsidRPr="00796994">
          <w:rPr>
            <w:rStyle w:val="Hyperlink"/>
            <w:rFonts w:ascii="Times New Roman" w:hAnsi="Times New Roman"/>
            <w:noProof/>
          </w:rPr>
          <w:t>ДОБРОСОСЕДСКИ ОДНОСИ И РЕГИОНАЛНА СОРАБОТКА</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_Toc150864258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84</w:t>
        </w:r>
        <w:r w:rsidR="00397C4A" w:rsidRPr="00796994">
          <w:rPr>
            <w:rFonts w:ascii="Times New Roman" w:hAnsi="Times New Roman"/>
            <w:noProof/>
            <w:webHidden/>
          </w:rPr>
          <w:fldChar w:fldCharType="end"/>
        </w:r>
      </w:hyperlink>
    </w:p>
    <w:p w:rsidR="00397C4A" w:rsidRPr="00796994" w:rsidRDefault="00E04633">
      <w:pPr>
        <w:pStyle w:val="TOC1"/>
        <w:rPr>
          <w:rFonts w:ascii="Times New Roman" w:eastAsiaTheme="minorEastAsia" w:hAnsi="Times New Roman"/>
          <w:noProof/>
          <w:lang w:eastAsia="mk-MK"/>
        </w:rPr>
      </w:pPr>
      <w:hyperlink w:anchor="_Toc150864259" w:history="1">
        <w:r w:rsidR="00397C4A" w:rsidRPr="00796994">
          <w:rPr>
            <w:rStyle w:val="Hyperlink"/>
            <w:rFonts w:ascii="Times New Roman" w:hAnsi="Times New Roman"/>
            <w:noProof/>
          </w:rPr>
          <w:t>4.</w:t>
        </w:r>
        <w:r w:rsidR="00397C4A" w:rsidRPr="00796994">
          <w:rPr>
            <w:rFonts w:ascii="Times New Roman" w:eastAsiaTheme="minorEastAsia" w:hAnsi="Times New Roman"/>
            <w:noProof/>
            <w:lang w:eastAsia="mk-MK"/>
          </w:rPr>
          <w:tab/>
        </w:r>
        <w:r w:rsidR="00397C4A" w:rsidRPr="00796994">
          <w:rPr>
            <w:rStyle w:val="Hyperlink"/>
            <w:rFonts w:ascii="Times New Roman" w:hAnsi="Times New Roman"/>
            <w:noProof/>
          </w:rPr>
          <w:t>СПОСОБНОСТ ЗА ПРЕЗЕМАЊЕ НА ОДГОВОРНОСТИТЕ НА ЧЛЕНСТВОТО</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_Toc150864259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87</w:t>
        </w:r>
        <w:r w:rsidR="00397C4A" w:rsidRPr="00796994">
          <w:rPr>
            <w:rFonts w:ascii="Times New Roman" w:hAnsi="Times New Roman"/>
            <w:noProof/>
            <w:webHidden/>
          </w:rPr>
          <w:fldChar w:fldCharType="end"/>
        </w:r>
      </w:hyperlink>
    </w:p>
    <w:p w:rsidR="00397C4A" w:rsidRPr="00796994" w:rsidRDefault="00E04633">
      <w:pPr>
        <w:pStyle w:val="TOC2"/>
        <w:rPr>
          <w:rFonts w:ascii="Times New Roman" w:eastAsiaTheme="minorEastAsia" w:hAnsi="Times New Roman"/>
          <w:noProof/>
          <w:lang w:eastAsia="mk-MK"/>
        </w:rPr>
      </w:pPr>
      <w:hyperlink w:anchor="_Toc150864260" w:history="1">
        <w:r w:rsidR="00397C4A" w:rsidRPr="00796994">
          <w:rPr>
            <w:rStyle w:val="Hyperlink"/>
            <w:rFonts w:ascii="Times New Roman" w:hAnsi="Times New Roman"/>
            <w:noProof/>
          </w:rPr>
          <w:t>Кластер 2: Внатрешен пазар</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_Toc150864260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87</w:t>
        </w:r>
        <w:r w:rsidR="00397C4A" w:rsidRPr="00796994">
          <w:rPr>
            <w:rFonts w:ascii="Times New Roman" w:hAnsi="Times New Roman"/>
            <w:noProof/>
            <w:webHidden/>
          </w:rPr>
          <w:fldChar w:fldCharType="end"/>
        </w:r>
      </w:hyperlink>
    </w:p>
    <w:p w:rsidR="00397C4A" w:rsidRPr="00796994" w:rsidRDefault="00E04633">
      <w:pPr>
        <w:pStyle w:val="TOC2"/>
        <w:rPr>
          <w:rFonts w:ascii="Times New Roman" w:eastAsiaTheme="minorEastAsia" w:hAnsi="Times New Roman"/>
          <w:noProof/>
          <w:lang w:eastAsia="mk-MK"/>
        </w:rPr>
      </w:pPr>
      <w:hyperlink w:anchor="_Toc150864261" w:history="1">
        <w:r w:rsidR="00397C4A" w:rsidRPr="00796994">
          <w:rPr>
            <w:rStyle w:val="Hyperlink"/>
            <w:rFonts w:ascii="Times New Roman" w:hAnsi="Times New Roman"/>
            <w:noProof/>
          </w:rPr>
          <w:t>Поглавје 1: Слободно движење на стоки</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_Toc150864261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87</w:t>
        </w:r>
        <w:r w:rsidR="00397C4A" w:rsidRPr="00796994">
          <w:rPr>
            <w:rFonts w:ascii="Times New Roman" w:hAnsi="Times New Roman"/>
            <w:noProof/>
            <w:webHidden/>
          </w:rPr>
          <w:fldChar w:fldCharType="end"/>
        </w:r>
      </w:hyperlink>
    </w:p>
    <w:p w:rsidR="00397C4A" w:rsidRPr="00796994" w:rsidRDefault="00E04633">
      <w:pPr>
        <w:pStyle w:val="TOC2"/>
        <w:rPr>
          <w:rFonts w:ascii="Times New Roman" w:eastAsiaTheme="minorEastAsia" w:hAnsi="Times New Roman"/>
          <w:noProof/>
          <w:lang w:eastAsia="mk-MK"/>
        </w:rPr>
      </w:pPr>
      <w:hyperlink w:anchor="_Toc150864262" w:history="1">
        <w:r w:rsidR="00397C4A" w:rsidRPr="00796994">
          <w:rPr>
            <w:rStyle w:val="Hyperlink"/>
            <w:rFonts w:ascii="Times New Roman" w:hAnsi="Times New Roman"/>
            <w:noProof/>
          </w:rPr>
          <w:t>Поглавје 2: Слободно движење на работници</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_Toc150864262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90</w:t>
        </w:r>
        <w:r w:rsidR="00397C4A" w:rsidRPr="00796994">
          <w:rPr>
            <w:rFonts w:ascii="Times New Roman" w:hAnsi="Times New Roman"/>
            <w:noProof/>
            <w:webHidden/>
          </w:rPr>
          <w:fldChar w:fldCharType="end"/>
        </w:r>
      </w:hyperlink>
    </w:p>
    <w:p w:rsidR="00397C4A" w:rsidRPr="00796994" w:rsidRDefault="00E04633">
      <w:pPr>
        <w:pStyle w:val="TOC2"/>
        <w:rPr>
          <w:rFonts w:ascii="Times New Roman" w:eastAsiaTheme="minorEastAsia" w:hAnsi="Times New Roman"/>
          <w:noProof/>
          <w:lang w:eastAsia="mk-MK"/>
        </w:rPr>
      </w:pPr>
      <w:hyperlink w:anchor="_Toc150864263" w:history="1">
        <w:r w:rsidR="00397C4A" w:rsidRPr="00796994">
          <w:rPr>
            <w:rStyle w:val="Hyperlink"/>
            <w:rFonts w:ascii="Times New Roman" w:hAnsi="Times New Roman"/>
            <w:noProof/>
          </w:rPr>
          <w:t>Поглавје 3: Право на основање и слобода на давање услуги</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_Toc150864263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91</w:t>
        </w:r>
        <w:r w:rsidR="00397C4A" w:rsidRPr="00796994">
          <w:rPr>
            <w:rFonts w:ascii="Times New Roman" w:hAnsi="Times New Roman"/>
            <w:noProof/>
            <w:webHidden/>
          </w:rPr>
          <w:fldChar w:fldCharType="end"/>
        </w:r>
      </w:hyperlink>
    </w:p>
    <w:p w:rsidR="00397C4A" w:rsidRPr="00796994" w:rsidRDefault="00E04633">
      <w:pPr>
        <w:pStyle w:val="TOC2"/>
        <w:rPr>
          <w:rFonts w:ascii="Times New Roman" w:eastAsiaTheme="minorEastAsia" w:hAnsi="Times New Roman"/>
          <w:noProof/>
          <w:lang w:eastAsia="mk-MK"/>
        </w:rPr>
      </w:pPr>
      <w:hyperlink w:anchor="_Toc150864264" w:history="1">
        <w:r w:rsidR="00397C4A" w:rsidRPr="00796994">
          <w:rPr>
            <w:rStyle w:val="Hyperlink"/>
            <w:rFonts w:ascii="Times New Roman" w:hAnsi="Times New Roman"/>
            <w:noProof/>
          </w:rPr>
          <w:t>Поглавје 4: Слободно движење на капитал</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_Toc150864264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92</w:t>
        </w:r>
        <w:r w:rsidR="00397C4A" w:rsidRPr="00796994">
          <w:rPr>
            <w:rFonts w:ascii="Times New Roman" w:hAnsi="Times New Roman"/>
            <w:noProof/>
            <w:webHidden/>
          </w:rPr>
          <w:fldChar w:fldCharType="end"/>
        </w:r>
      </w:hyperlink>
    </w:p>
    <w:p w:rsidR="00397C4A" w:rsidRPr="00796994" w:rsidRDefault="00E04633">
      <w:pPr>
        <w:pStyle w:val="TOC2"/>
        <w:rPr>
          <w:rFonts w:ascii="Times New Roman" w:eastAsiaTheme="minorEastAsia" w:hAnsi="Times New Roman"/>
          <w:noProof/>
          <w:lang w:eastAsia="mk-MK"/>
        </w:rPr>
      </w:pPr>
      <w:hyperlink w:anchor="_Toc150864265" w:history="1">
        <w:r w:rsidR="00397C4A" w:rsidRPr="00796994">
          <w:rPr>
            <w:rStyle w:val="Hyperlink"/>
            <w:rFonts w:ascii="Times New Roman" w:hAnsi="Times New Roman"/>
            <w:noProof/>
          </w:rPr>
          <w:t>Поглавје 6: Право на трговски друштва</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_Toc150864265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93</w:t>
        </w:r>
        <w:r w:rsidR="00397C4A" w:rsidRPr="00796994">
          <w:rPr>
            <w:rFonts w:ascii="Times New Roman" w:hAnsi="Times New Roman"/>
            <w:noProof/>
            <w:webHidden/>
          </w:rPr>
          <w:fldChar w:fldCharType="end"/>
        </w:r>
      </w:hyperlink>
    </w:p>
    <w:p w:rsidR="00397C4A" w:rsidRPr="00796994" w:rsidRDefault="00E04633">
      <w:pPr>
        <w:pStyle w:val="TOC2"/>
        <w:rPr>
          <w:rFonts w:ascii="Times New Roman" w:eastAsiaTheme="minorEastAsia" w:hAnsi="Times New Roman"/>
          <w:noProof/>
          <w:lang w:eastAsia="mk-MK"/>
        </w:rPr>
      </w:pPr>
      <w:hyperlink w:anchor="_Toc150864266" w:history="1">
        <w:r w:rsidR="00397C4A" w:rsidRPr="00796994">
          <w:rPr>
            <w:rStyle w:val="Hyperlink"/>
            <w:rFonts w:ascii="Times New Roman" w:hAnsi="Times New Roman"/>
            <w:noProof/>
          </w:rPr>
          <w:t>Поглавје 7: Право на интелектуална сопственост</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_Toc150864266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94</w:t>
        </w:r>
        <w:r w:rsidR="00397C4A" w:rsidRPr="00796994">
          <w:rPr>
            <w:rFonts w:ascii="Times New Roman" w:hAnsi="Times New Roman"/>
            <w:noProof/>
            <w:webHidden/>
          </w:rPr>
          <w:fldChar w:fldCharType="end"/>
        </w:r>
      </w:hyperlink>
    </w:p>
    <w:p w:rsidR="00397C4A" w:rsidRPr="00796994" w:rsidRDefault="00E04633">
      <w:pPr>
        <w:pStyle w:val="TOC2"/>
        <w:rPr>
          <w:rFonts w:ascii="Times New Roman" w:eastAsiaTheme="minorEastAsia" w:hAnsi="Times New Roman"/>
          <w:noProof/>
          <w:lang w:eastAsia="mk-MK"/>
        </w:rPr>
      </w:pPr>
      <w:hyperlink w:anchor="_Toc150864267" w:history="1">
        <w:r w:rsidR="00397C4A" w:rsidRPr="00796994">
          <w:rPr>
            <w:rStyle w:val="Hyperlink"/>
            <w:rFonts w:ascii="Times New Roman" w:hAnsi="Times New Roman"/>
            <w:noProof/>
          </w:rPr>
          <w:t>Поглавје 8: Политика на конкуренција</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_Toc150864267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96</w:t>
        </w:r>
        <w:r w:rsidR="00397C4A" w:rsidRPr="00796994">
          <w:rPr>
            <w:rFonts w:ascii="Times New Roman" w:hAnsi="Times New Roman"/>
            <w:noProof/>
            <w:webHidden/>
          </w:rPr>
          <w:fldChar w:fldCharType="end"/>
        </w:r>
      </w:hyperlink>
    </w:p>
    <w:p w:rsidR="00397C4A" w:rsidRPr="00796994" w:rsidRDefault="00E04633">
      <w:pPr>
        <w:pStyle w:val="TOC2"/>
        <w:rPr>
          <w:rFonts w:ascii="Times New Roman" w:eastAsiaTheme="minorEastAsia" w:hAnsi="Times New Roman"/>
          <w:noProof/>
          <w:lang w:eastAsia="mk-MK"/>
        </w:rPr>
      </w:pPr>
      <w:hyperlink w:anchor="_Toc150864268" w:history="1">
        <w:r w:rsidR="00397C4A" w:rsidRPr="00796994">
          <w:rPr>
            <w:rStyle w:val="Hyperlink"/>
            <w:rFonts w:ascii="Times New Roman" w:hAnsi="Times New Roman"/>
            <w:noProof/>
          </w:rPr>
          <w:t>Поглавје 9: Финансиски услуги</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_Toc150864268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97</w:t>
        </w:r>
        <w:r w:rsidR="00397C4A" w:rsidRPr="00796994">
          <w:rPr>
            <w:rFonts w:ascii="Times New Roman" w:hAnsi="Times New Roman"/>
            <w:noProof/>
            <w:webHidden/>
          </w:rPr>
          <w:fldChar w:fldCharType="end"/>
        </w:r>
      </w:hyperlink>
    </w:p>
    <w:p w:rsidR="00397C4A" w:rsidRPr="00796994" w:rsidRDefault="00E04633">
      <w:pPr>
        <w:pStyle w:val="TOC2"/>
        <w:rPr>
          <w:rFonts w:ascii="Times New Roman" w:eastAsiaTheme="minorEastAsia" w:hAnsi="Times New Roman"/>
          <w:noProof/>
          <w:lang w:eastAsia="mk-MK"/>
        </w:rPr>
      </w:pPr>
      <w:hyperlink w:anchor="_Toc150864269" w:history="1">
        <w:r w:rsidR="00397C4A" w:rsidRPr="00796994">
          <w:rPr>
            <w:rStyle w:val="Hyperlink"/>
            <w:rFonts w:ascii="Times New Roman" w:hAnsi="Times New Roman"/>
            <w:noProof/>
          </w:rPr>
          <w:t>Поглавје 28: Заштита на потрошувачи и здравствена заштита</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_Toc150864269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99</w:t>
        </w:r>
        <w:r w:rsidR="00397C4A" w:rsidRPr="00796994">
          <w:rPr>
            <w:rFonts w:ascii="Times New Roman" w:hAnsi="Times New Roman"/>
            <w:noProof/>
            <w:webHidden/>
          </w:rPr>
          <w:fldChar w:fldCharType="end"/>
        </w:r>
      </w:hyperlink>
    </w:p>
    <w:p w:rsidR="00397C4A" w:rsidRPr="00796994" w:rsidRDefault="00E04633">
      <w:pPr>
        <w:pStyle w:val="TOC2"/>
        <w:rPr>
          <w:rFonts w:ascii="Times New Roman" w:eastAsiaTheme="minorEastAsia" w:hAnsi="Times New Roman"/>
          <w:noProof/>
          <w:lang w:eastAsia="mk-MK"/>
        </w:rPr>
      </w:pPr>
      <w:hyperlink w:anchor="_Toc150864270" w:history="1">
        <w:r w:rsidR="00397C4A" w:rsidRPr="00796994">
          <w:rPr>
            <w:rStyle w:val="Hyperlink"/>
            <w:rFonts w:ascii="Times New Roman" w:hAnsi="Times New Roman"/>
            <w:noProof/>
          </w:rPr>
          <w:t>Кластер 3: Конкурентност и инклузивен раст</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_Toc150864270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102</w:t>
        </w:r>
        <w:r w:rsidR="00397C4A" w:rsidRPr="00796994">
          <w:rPr>
            <w:rFonts w:ascii="Times New Roman" w:hAnsi="Times New Roman"/>
            <w:noProof/>
            <w:webHidden/>
          </w:rPr>
          <w:fldChar w:fldCharType="end"/>
        </w:r>
      </w:hyperlink>
    </w:p>
    <w:p w:rsidR="00397C4A" w:rsidRPr="00796994" w:rsidRDefault="00E04633">
      <w:pPr>
        <w:pStyle w:val="TOC2"/>
        <w:rPr>
          <w:rFonts w:ascii="Times New Roman" w:eastAsiaTheme="minorEastAsia" w:hAnsi="Times New Roman"/>
          <w:noProof/>
          <w:lang w:eastAsia="mk-MK"/>
        </w:rPr>
      </w:pPr>
      <w:hyperlink w:anchor="_Toc150864271" w:history="1">
        <w:r w:rsidR="00397C4A" w:rsidRPr="00796994">
          <w:rPr>
            <w:rStyle w:val="Hyperlink"/>
            <w:rFonts w:ascii="Times New Roman" w:hAnsi="Times New Roman"/>
            <w:noProof/>
          </w:rPr>
          <w:t>Поглавје 10: Дигитална трансформација и медиуми</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_Toc150864271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102</w:t>
        </w:r>
        <w:r w:rsidR="00397C4A" w:rsidRPr="00796994">
          <w:rPr>
            <w:rFonts w:ascii="Times New Roman" w:hAnsi="Times New Roman"/>
            <w:noProof/>
            <w:webHidden/>
          </w:rPr>
          <w:fldChar w:fldCharType="end"/>
        </w:r>
      </w:hyperlink>
    </w:p>
    <w:p w:rsidR="00397C4A" w:rsidRPr="00796994" w:rsidRDefault="00E04633">
      <w:pPr>
        <w:pStyle w:val="TOC2"/>
        <w:rPr>
          <w:rFonts w:ascii="Times New Roman" w:eastAsiaTheme="minorEastAsia" w:hAnsi="Times New Roman"/>
          <w:noProof/>
          <w:lang w:eastAsia="mk-MK"/>
        </w:rPr>
      </w:pPr>
      <w:hyperlink w:anchor="_Toc150864272" w:history="1">
        <w:r w:rsidR="00397C4A" w:rsidRPr="00796994">
          <w:rPr>
            <w:rStyle w:val="Hyperlink"/>
            <w:rFonts w:ascii="Times New Roman" w:hAnsi="Times New Roman"/>
            <w:noProof/>
          </w:rPr>
          <w:t>Поглавје 16: Оданочување</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_Toc150864272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104</w:t>
        </w:r>
        <w:r w:rsidR="00397C4A" w:rsidRPr="00796994">
          <w:rPr>
            <w:rFonts w:ascii="Times New Roman" w:hAnsi="Times New Roman"/>
            <w:noProof/>
            <w:webHidden/>
          </w:rPr>
          <w:fldChar w:fldCharType="end"/>
        </w:r>
      </w:hyperlink>
    </w:p>
    <w:p w:rsidR="00397C4A" w:rsidRPr="00796994" w:rsidRDefault="00E04633">
      <w:pPr>
        <w:pStyle w:val="TOC2"/>
        <w:rPr>
          <w:rFonts w:ascii="Times New Roman" w:eastAsiaTheme="minorEastAsia" w:hAnsi="Times New Roman"/>
          <w:noProof/>
          <w:lang w:eastAsia="mk-MK"/>
        </w:rPr>
      </w:pPr>
      <w:hyperlink w:anchor="_Toc150864273" w:history="1">
        <w:r w:rsidR="00397C4A" w:rsidRPr="00796994">
          <w:rPr>
            <w:rStyle w:val="Hyperlink"/>
            <w:rFonts w:ascii="Times New Roman" w:hAnsi="Times New Roman"/>
            <w:noProof/>
          </w:rPr>
          <w:t>Поглавје 17: Економска и монетарна политика</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_Toc150864273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106</w:t>
        </w:r>
        <w:r w:rsidR="00397C4A" w:rsidRPr="00796994">
          <w:rPr>
            <w:rFonts w:ascii="Times New Roman" w:hAnsi="Times New Roman"/>
            <w:noProof/>
            <w:webHidden/>
          </w:rPr>
          <w:fldChar w:fldCharType="end"/>
        </w:r>
      </w:hyperlink>
    </w:p>
    <w:p w:rsidR="00397C4A" w:rsidRPr="00796994" w:rsidRDefault="00E04633">
      <w:pPr>
        <w:pStyle w:val="TOC2"/>
        <w:rPr>
          <w:rFonts w:ascii="Times New Roman" w:eastAsiaTheme="minorEastAsia" w:hAnsi="Times New Roman"/>
          <w:noProof/>
          <w:lang w:eastAsia="mk-MK"/>
        </w:rPr>
      </w:pPr>
      <w:hyperlink w:anchor="_Toc150864274" w:history="1">
        <w:r w:rsidR="00397C4A" w:rsidRPr="00796994">
          <w:rPr>
            <w:rStyle w:val="Hyperlink"/>
            <w:rFonts w:ascii="Times New Roman" w:hAnsi="Times New Roman"/>
            <w:noProof/>
          </w:rPr>
          <w:t>Поглавје 19: Социјална политика и вработување</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_Toc150864274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107</w:t>
        </w:r>
        <w:r w:rsidR="00397C4A" w:rsidRPr="00796994">
          <w:rPr>
            <w:rFonts w:ascii="Times New Roman" w:hAnsi="Times New Roman"/>
            <w:noProof/>
            <w:webHidden/>
          </w:rPr>
          <w:fldChar w:fldCharType="end"/>
        </w:r>
      </w:hyperlink>
    </w:p>
    <w:p w:rsidR="00397C4A" w:rsidRPr="00796994" w:rsidRDefault="00E04633">
      <w:pPr>
        <w:pStyle w:val="TOC2"/>
        <w:rPr>
          <w:rFonts w:ascii="Times New Roman" w:eastAsiaTheme="minorEastAsia" w:hAnsi="Times New Roman"/>
          <w:noProof/>
          <w:lang w:eastAsia="mk-MK"/>
        </w:rPr>
      </w:pPr>
      <w:hyperlink w:anchor="_Toc150864275" w:history="1">
        <w:r w:rsidR="00397C4A" w:rsidRPr="00796994">
          <w:rPr>
            <w:rStyle w:val="Hyperlink"/>
            <w:rFonts w:ascii="Times New Roman" w:hAnsi="Times New Roman"/>
            <w:noProof/>
          </w:rPr>
          <w:t>Поглавје 20: Претпријатија и индустриска политика</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_Toc150864275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110</w:t>
        </w:r>
        <w:r w:rsidR="00397C4A" w:rsidRPr="00796994">
          <w:rPr>
            <w:rFonts w:ascii="Times New Roman" w:hAnsi="Times New Roman"/>
            <w:noProof/>
            <w:webHidden/>
          </w:rPr>
          <w:fldChar w:fldCharType="end"/>
        </w:r>
      </w:hyperlink>
    </w:p>
    <w:p w:rsidR="00397C4A" w:rsidRPr="00796994" w:rsidRDefault="00E04633">
      <w:pPr>
        <w:pStyle w:val="TOC2"/>
        <w:rPr>
          <w:rFonts w:ascii="Times New Roman" w:eastAsiaTheme="minorEastAsia" w:hAnsi="Times New Roman"/>
          <w:noProof/>
          <w:lang w:eastAsia="mk-MK"/>
        </w:rPr>
      </w:pPr>
      <w:hyperlink w:anchor="_Toc150864276" w:history="1">
        <w:r w:rsidR="00397C4A" w:rsidRPr="00796994">
          <w:rPr>
            <w:rStyle w:val="Hyperlink"/>
            <w:rFonts w:ascii="Times New Roman" w:hAnsi="Times New Roman"/>
            <w:noProof/>
          </w:rPr>
          <w:t>Поглавје 25: Наука и истражување</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_Toc150864276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112</w:t>
        </w:r>
        <w:r w:rsidR="00397C4A" w:rsidRPr="00796994">
          <w:rPr>
            <w:rFonts w:ascii="Times New Roman" w:hAnsi="Times New Roman"/>
            <w:noProof/>
            <w:webHidden/>
          </w:rPr>
          <w:fldChar w:fldCharType="end"/>
        </w:r>
      </w:hyperlink>
    </w:p>
    <w:p w:rsidR="00397C4A" w:rsidRPr="00796994" w:rsidRDefault="00E04633">
      <w:pPr>
        <w:pStyle w:val="TOC2"/>
        <w:rPr>
          <w:rFonts w:ascii="Times New Roman" w:eastAsiaTheme="minorEastAsia" w:hAnsi="Times New Roman"/>
          <w:noProof/>
          <w:lang w:eastAsia="mk-MK"/>
        </w:rPr>
      </w:pPr>
      <w:hyperlink w:anchor="_Toc150864277" w:history="1">
        <w:r w:rsidR="00397C4A" w:rsidRPr="00796994">
          <w:rPr>
            <w:rStyle w:val="Hyperlink"/>
            <w:rFonts w:ascii="Times New Roman" w:hAnsi="Times New Roman"/>
            <w:noProof/>
          </w:rPr>
          <w:t>Поглавје 26: Образование и култура</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_Toc150864277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113</w:t>
        </w:r>
        <w:r w:rsidR="00397C4A" w:rsidRPr="00796994">
          <w:rPr>
            <w:rFonts w:ascii="Times New Roman" w:hAnsi="Times New Roman"/>
            <w:noProof/>
            <w:webHidden/>
          </w:rPr>
          <w:fldChar w:fldCharType="end"/>
        </w:r>
      </w:hyperlink>
    </w:p>
    <w:p w:rsidR="00397C4A" w:rsidRPr="00796994" w:rsidRDefault="00E04633">
      <w:pPr>
        <w:pStyle w:val="TOC2"/>
        <w:rPr>
          <w:rFonts w:ascii="Times New Roman" w:eastAsiaTheme="minorEastAsia" w:hAnsi="Times New Roman"/>
          <w:noProof/>
          <w:lang w:eastAsia="mk-MK"/>
        </w:rPr>
      </w:pPr>
      <w:hyperlink w:anchor="_Toc150864278" w:history="1">
        <w:r w:rsidR="00397C4A" w:rsidRPr="00796994">
          <w:rPr>
            <w:rStyle w:val="Hyperlink"/>
            <w:rFonts w:ascii="Times New Roman" w:hAnsi="Times New Roman"/>
            <w:noProof/>
          </w:rPr>
          <w:t>Поглавје 29: Царинска унија</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_Toc150864278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115</w:t>
        </w:r>
        <w:r w:rsidR="00397C4A" w:rsidRPr="00796994">
          <w:rPr>
            <w:rFonts w:ascii="Times New Roman" w:hAnsi="Times New Roman"/>
            <w:noProof/>
            <w:webHidden/>
          </w:rPr>
          <w:fldChar w:fldCharType="end"/>
        </w:r>
      </w:hyperlink>
    </w:p>
    <w:p w:rsidR="00397C4A" w:rsidRPr="00796994" w:rsidRDefault="00E04633">
      <w:pPr>
        <w:pStyle w:val="TOC2"/>
        <w:rPr>
          <w:rFonts w:ascii="Times New Roman" w:eastAsiaTheme="minorEastAsia" w:hAnsi="Times New Roman"/>
          <w:noProof/>
          <w:lang w:eastAsia="mk-MK"/>
        </w:rPr>
      </w:pPr>
      <w:hyperlink w:anchor="_Toc150864279" w:history="1">
        <w:r w:rsidR="00397C4A" w:rsidRPr="00796994">
          <w:rPr>
            <w:rStyle w:val="Hyperlink"/>
            <w:rFonts w:ascii="Times New Roman" w:hAnsi="Times New Roman"/>
            <w:noProof/>
          </w:rPr>
          <w:t>Кластер 4: Зелената агенда и одржлива поврзаност</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_Toc150864279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117</w:t>
        </w:r>
        <w:r w:rsidR="00397C4A" w:rsidRPr="00796994">
          <w:rPr>
            <w:rFonts w:ascii="Times New Roman" w:hAnsi="Times New Roman"/>
            <w:noProof/>
            <w:webHidden/>
          </w:rPr>
          <w:fldChar w:fldCharType="end"/>
        </w:r>
      </w:hyperlink>
    </w:p>
    <w:p w:rsidR="00397C4A" w:rsidRPr="00796994" w:rsidRDefault="00E04633">
      <w:pPr>
        <w:pStyle w:val="TOC2"/>
        <w:rPr>
          <w:rFonts w:ascii="Times New Roman" w:eastAsiaTheme="minorEastAsia" w:hAnsi="Times New Roman"/>
          <w:noProof/>
          <w:lang w:eastAsia="mk-MK"/>
        </w:rPr>
      </w:pPr>
      <w:hyperlink w:anchor="_Toc150864280" w:history="1">
        <w:r w:rsidR="00397C4A" w:rsidRPr="00796994">
          <w:rPr>
            <w:rStyle w:val="Hyperlink"/>
            <w:rFonts w:ascii="Times New Roman" w:hAnsi="Times New Roman"/>
            <w:noProof/>
          </w:rPr>
          <w:t>Поглавје 14: Транспортна политика</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_Toc150864280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117</w:t>
        </w:r>
        <w:r w:rsidR="00397C4A" w:rsidRPr="00796994">
          <w:rPr>
            <w:rFonts w:ascii="Times New Roman" w:hAnsi="Times New Roman"/>
            <w:noProof/>
            <w:webHidden/>
          </w:rPr>
          <w:fldChar w:fldCharType="end"/>
        </w:r>
      </w:hyperlink>
    </w:p>
    <w:p w:rsidR="00397C4A" w:rsidRPr="00796994" w:rsidRDefault="00E04633">
      <w:pPr>
        <w:pStyle w:val="TOC2"/>
        <w:rPr>
          <w:rFonts w:ascii="Times New Roman" w:eastAsiaTheme="minorEastAsia" w:hAnsi="Times New Roman"/>
          <w:noProof/>
          <w:lang w:eastAsia="mk-MK"/>
        </w:rPr>
      </w:pPr>
      <w:hyperlink w:anchor="_Toc150864281" w:history="1">
        <w:r w:rsidR="00397C4A" w:rsidRPr="00796994">
          <w:rPr>
            <w:rStyle w:val="Hyperlink"/>
            <w:rFonts w:ascii="Times New Roman" w:hAnsi="Times New Roman"/>
            <w:noProof/>
          </w:rPr>
          <w:t>Поглавје 15: Енергија</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_Toc150864281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119</w:t>
        </w:r>
        <w:r w:rsidR="00397C4A" w:rsidRPr="00796994">
          <w:rPr>
            <w:rFonts w:ascii="Times New Roman" w:hAnsi="Times New Roman"/>
            <w:noProof/>
            <w:webHidden/>
          </w:rPr>
          <w:fldChar w:fldCharType="end"/>
        </w:r>
      </w:hyperlink>
    </w:p>
    <w:p w:rsidR="00397C4A" w:rsidRPr="00796994" w:rsidRDefault="00E04633">
      <w:pPr>
        <w:pStyle w:val="TOC2"/>
        <w:rPr>
          <w:rFonts w:ascii="Times New Roman" w:eastAsiaTheme="minorEastAsia" w:hAnsi="Times New Roman"/>
          <w:noProof/>
          <w:lang w:eastAsia="mk-MK"/>
        </w:rPr>
      </w:pPr>
      <w:hyperlink w:anchor="_Toc150864282" w:history="1">
        <w:r w:rsidR="00397C4A" w:rsidRPr="00796994">
          <w:rPr>
            <w:rStyle w:val="Hyperlink"/>
            <w:rFonts w:ascii="Times New Roman" w:hAnsi="Times New Roman"/>
            <w:noProof/>
          </w:rPr>
          <w:t>Поглавје 21: Трансевропски мрежи</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_Toc150864282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122</w:t>
        </w:r>
        <w:r w:rsidR="00397C4A" w:rsidRPr="00796994">
          <w:rPr>
            <w:rFonts w:ascii="Times New Roman" w:hAnsi="Times New Roman"/>
            <w:noProof/>
            <w:webHidden/>
          </w:rPr>
          <w:fldChar w:fldCharType="end"/>
        </w:r>
      </w:hyperlink>
    </w:p>
    <w:p w:rsidR="00397C4A" w:rsidRPr="00796994" w:rsidRDefault="00E04633">
      <w:pPr>
        <w:pStyle w:val="TOC2"/>
        <w:rPr>
          <w:rFonts w:ascii="Times New Roman" w:eastAsiaTheme="minorEastAsia" w:hAnsi="Times New Roman"/>
          <w:noProof/>
          <w:lang w:eastAsia="mk-MK"/>
        </w:rPr>
      </w:pPr>
      <w:hyperlink w:anchor="_Toc150864283" w:history="1">
        <w:r w:rsidR="00397C4A" w:rsidRPr="00796994">
          <w:rPr>
            <w:rStyle w:val="Hyperlink"/>
            <w:rFonts w:ascii="Times New Roman" w:hAnsi="Times New Roman"/>
            <w:noProof/>
          </w:rPr>
          <w:t>Поглавје 27: Животна средина и климатски промени</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_Toc150864283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123</w:t>
        </w:r>
        <w:r w:rsidR="00397C4A" w:rsidRPr="00796994">
          <w:rPr>
            <w:rFonts w:ascii="Times New Roman" w:hAnsi="Times New Roman"/>
            <w:noProof/>
            <w:webHidden/>
          </w:rPr>
          <w:fldChar w:fldCharType="end"/>
        </w:r>
      </w:hyperlink>
    </w:p>
    <w:p w:rsidR="00397C4A" w:rsidRPr="00796994" w:rsidRDefault="00E04633">
      <w:pPr>
        <w:pStyle w:val="TOC2"/>
        <w:rPr>
          <w:rFonts w:ascii="Times New Roman" w:eastAsiaTheme="minorEastAsia" w:hAnsi="Times New Roman"/>
          <w:noProof/>
          <w:lang w:eastAsia="mk-MK"/>
        </w:rPr>
      </w:pPr>
      <w:hyperlink w:anchor="_Toc150864284" w:history="1">
        <w:r w:rsidR="00397C4A" w:rsidRPr="00796994">
          <w:rPr>
            <w:rStyle w:val="Hyperlink"/>
            <w:rFonts w:ascii="Times New Roman" w:hAnsi="Times New Roman"/>
            <w:noProof/>
          </w:rPr>
          <w:t>Кластер 5: Ресурси, земјоделство и кохезија</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_Toc150864284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126</w:t>
        </w:r>
        <w:r w:rsidR="00397C4A" w:rsidRPr="00796994">
          <w:rPr>
            <w:rFonts w:ascii="Times New Roman" w:hAnsi="Times New Roman"/>
            <w:noProof/>
            <w:webHidden/>
          </w:rPr>
          <w:fldChar w:fldCharType="end"/>
        </w:r>
      </w:hyperlink>
    </w:p>
    <w:p w:rsidR="00397C4A" w:rsidRPr="00796994" w:rsidRDefault="00E04633">
      <w:pPr>
        <w:pStyle w:val="TOC2"/>
        <w:rPr>
          <w:rFonts w:ascii="Times New Roman" w:eastAsiaTheme="minorEastAsia" w:hAnsi="Times New Roman"/>
          <w:noProof/>
          <w:lang w:eastAsia="mk-MK"/>
        </w:rPr>
      </w:pPr>
      <w:hyperlink w:anchor="_Toc150864285" w:history="1">
        <w:r w:rsidR="00397C4A" w:rsidRPr="00796994">
          <w:rPr>
            <w:rStyle w:val="Hyperlink"/>
            <w:rFonts w:ascii="Times New Roman" w:hAnsi="Times New Roman"/>
            <w:noProof/>
          </w:rPr>
          <w:t>Поглавје 11: Земјоделски и рурален развој</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_Toc150864285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126</w:t>
        </w:r>
        <w:r w:rsidR="00397C4A" w:rsidRPr="00796994">
          <w:rPr>
            <w:rFonts w:ascii="Times New Roman" w:hAnsi="Times New Roman"/>
            <w:noProof/>
            <w:webHidden/>
          </w:rPr>
          <w:fldChar w:fldCharType="end"/>
        </w:r>
      </w:hyperlink>
    </w:p>
    <w:p w:rsidR="00397C4A" w:rsidRPr="00796994" w:rsidRDefault="00E04633">
      <w:pPr>
        <w:pStyle w:val="TOC2"/>
        <w:rPr>
          <w:rFonts w:ascii="Times New Roman" w:eastAsiaTheme="minorEastAsia" w:hAnsi="Times New Roman"/>
          <w:noProof/>
          <w:lang w:eastAsia="mk-MK"/>
        </w:rPr>
      </w:pPr>
      <w:hyperlink w:anchor="_Toc150864286" w:history="1">
        <w:r w:rsidR="00397C4A" w:rsidRPr="00796994">
          <w:rPr>
            <w:rStyle w:val="Hyperlink"/>
            <w:rFonts w:ascii="Times New Roman" w:hAnsi="Times New Roman"/>
            <w:noProof/>
          </w:rPr>
          <w:t>Поглавје 12: Безбедност на храна, ветеринарна и фитосанитарна политика</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_Toc150864286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128</w:t>
        </w:r>
        <w:r w:rsidR="00397C4A" w:rsidRPr="00796994">
          <w:rPr>
            <w:rFonts w:ascii="Times New Roman" w:hAnsi="Times New Roman"/>
            <w:noProof/>
            <w:webHidden/>
          </w:rPr>
          <w:fldChar w:fldCharType="end"/>
        </w:r>
      </w:hyperlink>
    </w:p>
    <w:p w:rsidR="00397C4A" w:rsidRPr="00796994" w:rsidRDefault="00E04633">
      <w:pPr>
        <w:pStyle w:val="TOC2"/>
        <w:rPr>
          <w:rFonts w:ascii="Times New Roman" w:eastAsiaTheme="minorEastAsia" w:hAnsi="Times New Roman"/>
          <w:noProof/>
          <w:lang w:eastAsia="mk-MK"/>
        </w:rPr>
      </w:pPr>
      <w:hyperlink w:anchor="_Toc150864287" w:history="1">
        <w:r w:rsidR="00397C4A" w:rsidRPr="00796994">
          <w:rPr>
            <w:rStyle w:val="Hyperlink"/>
            <w:rFonts w:ascii="Times New Roman" w:hAnsi="Times New Roman"/>
            <w:noProof/>
          </w:rPr>
          <w:t>Поглавје 13: Рибарство и аквакултура</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_Toc150864287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129</w:t>
        </w:r>
        <w:r w:rsidR="00397C4A" w:rsidRPr="00796994">
          <w:rPr>
            <w:rFonts w:ascii="Times New Roman" w:hAnsi="Times New Roman"/>
            <w:noProof/>
            <w:webHidden/>
          </w:rPr>
          <w:fldChar w:fldCharType="end"/>
        </w:r>
      </w:hyperlink>
    </w:p>
    <w:p w:rsidR="00397C4A" w:rsidRPr="00796994" w:rsidRDefault="00E04633">
      <w:pPr>
        <w:pStyle w:val="TOC2"/>
        <w:rPr>
          <w:rFonts w:ascii="Times New Roman" w:eastAsiaTheme="minorEastAsia" w:hAnsi="Times New Roman"/>
          <w:noProof/>
          <w:lang w:eastAsia="mk-MK"/>
        </w:rPr>
      </w:pPr>
      <w:hyperlink w:anchor="_Toc150864288" w:history="1">
        <w:r w:rsidR="00397C4A" w:rsidRPr="00796994">
          <w:rPr>
            <w:rStyle w:val="Hyperlink"/>
            <w:rFonts w:ascii="Times New Roman" w:hAnsi="Times New Roman"/>
            <w:noProof/>
          </w:rPr>
          <w:t>Поглавје 22: Регионална политика и координација на структурни инструменти</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_Toc150864288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130</w:t>
        </w:r>
        <w:r w:rsidR="00397C4A" w:rsidRPr="00796994">
          <w:rPr>
            <w:rFonts w:ascii="Times New Roman" w:hAnsi="Times New Roman"/>
            <w:noProof/>
            <w:webHidden/>
          </w:rPr>
          <w:fldChar w:fldCharType="end"/>
        </w:r>
      </w:hyperlink>
    </w:p>
    <w:p w:rsidR="00397C4A" w:rsidRPr="00796994" w:rsidRDefault="00E04633">
      <w:pPr>
        <w:pStyle w:val="TOC2"/>
        <w:rPr>
          <w:rFonts w:ascii="Times New Roman" w:eastAsiaTheme="minorEastAsia" w:hAnsi="Times New Roman"/>
          <w:noProof/>
          <w:lang w:eastAsia="mk-MK"/>
        </w:rPr>
      </w:pPr>
      <w:hyperlink w:anchor="_Toc150864289" w:history="1">
        <w:r w:rsidR="00397C4A" w:rsidRPr="00796994">
          <w:rPr>
            <w:rStyle w:val="Hyperlink"/>
            <w:rFonts w:ascii="Times New Roman" w:hAnsi="Times New Roman"/>
            <w:noProof/>
          </w:rPr>
          <w:t>Поглавје 33: Финансиски и буџетски одредби</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_Toc150864289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132</w:t>
        </w:r>
        <w:r w:rsidR="00397C4A" w:rsidRPr="00796994">
          <w:rPr>
            <w:rFonts w:ascii="Times New Roman" w:hAnsi="Times New Roman"/>
            <w:noProof/>
            <w:webHidden/>
          </w:rPr>
          <w:fldChar w:fldCharType="end"/>
        </w:r>
      </w:hyperlink>
    </w:p>
    <w:p w:rsidR="00397C4A" w:rsidRPr="00796994" w:rsidRDefault="00E04633">
      <w:pPr>
        <w:pStyle w:val="TOC2"/>
        <w:rPr>
          <w:rFonts w:ascii="Times New Roman" w:eastAsiaTheme="minorEastAsia" w:hAnsi="Times New Roman"/>
          <w:noProof/>
          <w:lang w:eastAsia="mk-MK"/>
        </w:rPr>
      </w:pPr>
      <w:hyperlink w:anchor="_Toc150864290" w:history="1">
        <w:r w:rsidR="00397C4A" w:rsidRPr="00796994">
          <w:rPr>
            <w:rStyle w:val="Hyperlink"/>
            <w:rFonts w:ascii="Times New Roman" w:hAnsi="Times New Roman"/>
            <w:noProof/>
          </w:rPr>
          <w:t>Кластер 6: Надворешни односи</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_Toc150864290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134</w:t>
        </w:r>
        <w:r w:rsidR="00397C4A" w:rsidRPr="00796994">
          <w:rPr>
            <w:rFonts w:ascii="Times New Roman" w:hAnsi="Times New Roman"/>
            <w:noProof/>
            <w:webHidden/>
          </w:rPr>
          <w:fldChar w:fldCharType="end"/>
        </w:r>
      </w:hyperlink>
    </w:p>
    <w:p w:rsidR="00397C4A" w:rsidRPr="00796994" w:rsidRDefault="00E04633">
      <w:pPr>
        <w:pStyle w:val="TOC2"/>
        <w:rPr>
          <w:rFonts w:ascii="Times New Roman" w:eastAsiaTheme="minorEastAsia" w:hAnsi="Times New Roman"/>
          <w:noProof/>
          <w:lang w:eastAsia="mk-MK"/>
        </w:rPr>
      </w:pPr>
      <w:hyperlink w:anchor="_Toc150864291" w:history="1">
        <w:r w:rsidR="00397C4A" w:rsidRPr="00796994">
          <w:rPr>
            <w:rStyle w:val="Hyperlink"/>
            <w:rFonts w:ascii="Times New Roman" w:hAnsi="Times New Roman"/>
            <w:noProof/>
          </w:rPr>
          <w:t>Поглавје 30: Надворешни односи</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_Toc150864291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134</w:t>
        </w:r>
        <w:r w:rsidR="00397C4A" w:rsidRPr="00796994">
          <w:rPr>
            <w:rFonts w:ascii="Times New Roman" w:hAnsi="Times New Roman"/>
            <w:noProof/>
            <w:webHidden/>
          </w:rPr>
          <w:fldChar w:fldCharType="end"/>
        </w:r>
      </w:hyperlink>
    </w:p>
    <w:p w:rsidR="00397C4A" w:rsidRPr="00796994" w:rsidRDefault="00E04633">
      <w:pPr>
        <w:pStyle w:val="TOC2"/>
        <w:rPr>
          <w:rFonts w:ascii="Times New Roman" w:eastAsiaTheme="minorEastAsia" w:hAnsi="Times New Roman"/>
          <w:noProof/>
          <w:lang w:eastAsia="mk-MK"/>
        </w:rPr>
      </w:pPr>
      <w:hyperlink w:anchor="_Toc150864292" w:history="1">
        <w:r w:rsidR="00397C4A" w:rsidRPr="00796994">
          <w:rPr>
            <w:rStyle w:val="Hyperlink"/>
            <w:rFonts w:ascii="Times New Roman" w:hAnsi="Times New Roman"/>
            <w:noProof/>
          </w:rPr>
          <w:t>Поглавје 31: Надворешна, безбедносна и одбранбена политика</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_Toc150864292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135</w:t>
        </w:r>
        <w:r w:rsidR="00397C4A" w:rsidRPr="00796994">
          <w:rPr>
            <w:rFonts w:ascii="Times New Roman" w:hAnsi="Times New Roman"/>
            <w:noProof/>
            <w:webHidden/>
          </w:rPr>
          <w:fldChar w:fldCharType="end"/>
        </w:r>
      </w:hyperlink>
    </w:p>
    <w:p w:rsidR="00397C4A" w:rsidRDefault="00E04633">
      <w:pPr>
        <w:pStyle w:val="TOC2"/>
        <w:rPr>
          <w:rFonts w:asciiTheme="minorHAnsi" w:eastAsiaTheme="minorEastAsia" w:hAnsiTheme="minorHAnsi" w:cstheme="minorBidi"/>
          <w:noProof/>
          <w:lang w:eastAsia="mk-MK"/>
        </w:rPr>
      </w:pPr>
      <w:hyperlink w:anchor="_Toc150864293" w:history="1">
        <w:r w:rsidR="00397C4A" w:rsidRPr="00796994">
          <w:rPr>
            <w:rStyle w:val="Hyperlink"/>
            <w:rFonts w:ascii="Times New Roman" w:hAnsi="Times New Roman"/>
            <w:noProof/>
          </w:rPr>
          <w:t>Анекс I – Односи помеѓу ЕУ и Северна Македонија</w:t>
        </w:r>
        <w:r w:rsidR="00397C4A" w:rsidRPr="00796994">
          <w:rPr>
            <w:rFonts w:ascii="Times New Roman" w:hAnsi="Times New Roman"/>
            <w:noProof/>
            <w:webHidden/>
          </w:rPr>
          <w:tab/>
        </w:r>
        <w:r w:rsidR="00397C4A" w:rsidRPr="00796994">
          <w:rPr>
            <w:rFonts w:ascii="Times New Roman" w:hAnsi="Times New Roman"/>
            <w:noProof/>
            <w:webHidden/>
          </w:rPr>
          <w:fldChar w:fldCharType="begin"/>
        </w:r>
        <w:r w:rsidR="00397C4A" w:rsidRPr="00796994">
          <w:rPr>
            <w:rFonts w:ascii="Times New Roman" w:hAnsi="Times New Roman"/>
            <w:noProof/>
            <w:webHidden/>
          </w:rPr>
          <w:instrText xml:space="preserve"> PAGEREF _Toc150864293 \h </w:instrText>
        </w:r>
        <w:r w:rsidR="00397C4A" w:rsidRPr="00796994">
          <w:rPr>
            <w:rFonts w:ascii="Times New Roman" w:hAnsi="Times New Roman"/>
            <w:noProof/>
            <w:webHidden/>
          </w:rPr>
        </w:r>
        <w:r w:rsidR="00397C4A" w:rsidRPr="00796994">
          <w:rPr>
            <w:rFonts w:ascii="Times New Roman" w:hAnsi="Times New Roman"/>
            <w:noProof/>
            <w:webHidden/>
          </w:rPr>
          <w:fldChar w:fldCharType="separate"/>
        </w:r>
        <w:r w:rsidR="00397C4A" w:rsidRPr="00796994">
          <w:rPr>
            <w:rFonts w:ascii="Times New Roman" w:hAnsi="Times New Roman"/>
            <w:noProof/>
            <w:webHidden/>
          </w:rPr>
          <w:t>137</w:t>
        </w:r>
        <w:r w:rsidR="00397C4A" w:rsidRPr="00796994">
          <w:rPr>
            <w:rFonts w:ascii="Times New Roman" w:hAnsi="Times New Roman"/>
            <w:noProof/>
            <w:webHidden/>
          </w:rPr>
          <w:fldChar w:fldCharType="end"/>
        </w:r>
      </w:hyperlink>
    </w:p>
    <w:p w:rsidR="004B28D4" w:rsidRPr="00EA7926" w:rsidRDefault="004B28D4" w:rsidP="004B28D4">
      <w:r w:rsidRPr="00EA7926">
        <w:rPr>
          <w:rFonts w:ascii="Times New Roman" w:hAnsi="Times New Roman"/>
          <w:b/>
        </w:rPr>
        <w:fldChar w:fldCharType="end"/>
      </w:r>
    </w:p>
    <w:p w:rsidR="004B28D4" w:rsidRPr="00EA7926" w:rsidRDefault="004B28D4" w:rsidP="004B28D4">
      <w:pPr>
        <w:pStyle w:val="Heading1"/>
      </w:pPr>
      <w:r w:rsidRPr="00EA7926">
        <w:br w:type="page"/>
      </w:r>
      <w:bookmarkStart w:id="1" w:name="bookmark0"/>
      <w:bookmarkStart w:id="2" w:name="_Toc150864240"/>
      <w:r w:rsidRPr="00EA7926">
        <w:t>1</w:t>
      </w:r>
      <w:bookmarkEnd w:id="1"/>
      <w:r w:rsidRPr="00EA7926">
        <w:t>.</w:t>
      </w:r>
      <w:r w:rsidRPr="00EA7926">
        <w:tab/>
        <w:t>ВОВЕД</w:t>
      </w:r>
      <w:bookmarkEnd w:id="2"/>
    </w:p>
    <w:p w:rsidR="004B28D4" w:rsidRPr="00EA7926" w:rsidRDefault="004B28D4" w:rsidP="004B28D4">
      <w:pPr>
        <w:pStyle w:val="Heading2"/>
      </w:pPr>
      <w:bookmarkStart w:id="3" w:name="bookmark1"/>
      <w:bookmarkStart w:id="4" w:name="_Toc150864241"/>
      <w:r w:rsidRPr="00EA7926">
        <w:t>1</w:t>
      </w:r>
      <w:bookmarkEnd w:id="3"/>
      <w:r w:rsidRPr="00EA7926">
        <w:t>.1.</w:t>
      </w:r>
      <w:r w:rsidRPr="00EA7926">
        <w:tab/>
        <w:t>Контекст</w:t>
      </w:r>
      <w:bookmarkEnd w:id="4"/>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Првата Меѓувладина конференција за пристапните преговори со Северна Македонија се одржа во јули 2022 година. Истовремено, направен </w:t>
      </w:r>
      <w:r w:rsidR="001F0D51" w:rsidRPr="00EA7926">
        <w:rPr>
          <w:rFonts w:ascii="Times New Roman" w:hAnsi="Times New Roman"/>
          <w:color w:val="000000"/>
          <w:sz w:val="24"/>
        </w:rPr>
        <w:t xml:space="preserve">е </w:t>
      </w:r>
      <w:r w:rsidRPr="00EA7926">
        <w:rPr>
          <w:rFonts w:ascii="Times New Roman" w:hAnsi="Times New Roman"/>
          <w:color w:val="000000"/>
          <w:sz w:val="24"/>
        </w:rPr>
        <w:t xml:space="preserve">првиот чекор во пристапните преговори со започнувањето на аналитичкиот преглед на </w:t>
      </w:r>
      <w:r w:rsidRPr="00EA7926">
        <w:rPr>
          <w:rFonts w:ascii="Times New Roman" w:hAnsi="Times New Roman"/>
          <w:i/>
          <w:iCs/>
          <w:color w:val="000000"/>
          <w:sz w:val="24"/>
        </w:rPr>
        <w:t>правото</w:t>
      </w:r>
      <w:r w:rsidRPr="00EA7926">
        <w:rPr>
          <w:rFonts w:ascii="Times New Roman" w:hAnsi="Times New Roman"/>
          <w:color w:val="000000"/>
          <w:sz w:val="24"/>
        </w:rPr>
        <w:t xml:space="preserve"> на ЕУ, „скринингот“. Овој процес течеше беспрекорно. Северна Македонија продолжи да ја спроведува Спогодбата за стабилизација и асоцијација</w:t>
      </w:r>
      <w:r w:rsidR="00044F29" w:rsidRPr="00EA7926">
        <w:rPr>
          <w:rFonts w:ascii="Times New Roman" w:hAnsi="Times New Roman"/>
          <w:color w:val="000000"/>
          <w:sz w:val="24"/>
        </w:rPr>
        <w:t>, а</w:t>
      </w:r>
      <w:r w:rsidRPr="00EA7926">
        <w:rPr>
          <w:rFonts w:ascii="Times New Roman" w:hAnsi="Times New Roman"/>
          <w:color w:val="000000"/>
          <w:sz w:val="24"/>
        </w:rPr>
        <w:t xml:space="preserve"> заедничките тела во рамките на Спогодба</w:t>
      </w:r>
      <w:r w:rsidR="00044F29" w:rsidRPr="00EA7926">
        <w:rPr>
          <w:rFonts w:ascii="Times New Roman" w:hAnsi="Times New Roman"/>
          <w:color w:val="000000"/>
          <w:sz w:val="24"/>
        </w:rPr>
        <w:t>та</w:t>
      </w:r>
      <w:r w:rsidRPr="00EA7926">
        <w:rPr>
          <w:rFonts w:ascii="Times New Roman" w:hAnsi="Times New Roman"/>
          <w:color w:val="000000"/>
          <w:sz w:val="24"/>
        </w:rPr>
        <w:t xml:space="preserve"> се среќаваа во редовни интервали.</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Процесот за пристапување на Северна Македонија кон ЕУ се спроведува во согласност со ревидираната методологија за проширување и според условите наведени во Преговарачката рамка, кои уште повеќе се фокусираат на фундаменталните вредности на пристапниот процес (кластер 1).</w:t>
      </w:r>
    </w:p>
    <w:p w:rsidR="004B28D4" w:rsidRPr="00EA7926" w:rsidRDefault="0021101C"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Надлежните о</w:t>
      </w:r>
      <w:r w:rsidR="004B28D4" w:rsidRPr="00EA7926">
        <w:rPr>
          <w:rFonts w:ascii="Times New Roman" w:hAnsi="Times New Roman"/>
          <w:color w:val="000000"/>
          <w:sz w:val="24"/>
        </w:rPr>
        <w:t>ргани продолжија да ја покажуваат и јавно да ја искажуваат својата посветеност за напредок на нивниот пат кон ЕУ. Сега кога почна процесот на пристапни преговори, мора да забрза и темпото на реформите поврзани со ЕУ.</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Северна Македонија, исто така, целосно се усогласи со позициите на ЕУ за </w:t>
      </w:r>
      <w:r w:rsidR="009E231C" w:rsidRPr="00EA7926">
        <w:rPr>
          <w:rFonts w:ascii="Times New Roman" w:hAnsi="Times New Roman"/>
          <w:color w:val="000000"/>
          <w:sz w:val="24"/>
        </w:rPr>
        <w:t xml:space="preserve">воената агресија на Русија врз </w:t>
      </w:r>
      <w:r w:rsidRPr="00EA7926">
        <w:rPr>
          <w:rFonts w:ascii="Times New Roman" w:hAnsi="Times New Roman"/>
          <w:color w:val="000000"/>
          <w:sz w:val="24"/>
        </w:rPr>
        <w:t xml:space="preserve">Украина, </w:t>
      </w:r>
      <w:r w:rsidR="009E231C" w:rsidRPr="00EA7926">
        <w:rPr>
          <w:rFonts w:ascii="Times New Roman" w:hAnsi="Times New Roman"/>
          <w:color w:val="000000"/>
          <w:sz w:val="24"/>
        </w:rPr>
        <w:t>со што прати</w:t>
      </w:r>
      <w:r w:rsidRPr="00EA7926">
        <w:rPr>
          <w:rFonts w:ascii="Times New Roman" w:hAnsi="Times New Roman"/>
          <w:color w:val="000000"/>
          <w:sz w:val="24"/>
        </w:rPr>
        <w:t xml:space="preserve"> јасен сигнал за стратешкиот избор за пристапување кон ЕУ и </w:t>
      </w:r>
      <w:r w:rsidR="009E231C" w:rsidRPr="00EA7926">
        <w:rPr>
          <w:rFonts w:ascii="Times New Roman" w:hAnsi="Times New Roman"/>
          <w:color w:val="000000"/>
          <w:sz w:val="24"/>
        </w:rPr>
        <w:t xml:space="preserve">повторно се </w:t>
      </w:r>
      <w:r w:rsidRPr="00EA7926">
        <w:rPr>
          <w:rFonts w:ascii="Times New Roman" w:hAnsi="Times New Roman"/>
          <w:color w:val="000000"/>
          <w:sz w:val="24"/>
        </w:rPr>
        <w:t>докажа</w:t>
      </w:r>
      <w:r w:rsidR="009E231C" w:rsidRPr="00EA7926">
        <w:rPr>
          <w:rFonts w:ascii="Times New Roman" w:hAnsi="Times New Roman"/>
          <w:color w:val="000000"/>
          <w:sz w:val="24"/>
        </w:rPr>
        <w:t xml:space="preserve"> </w:t>
      </w:r>
      <w:r w:rsidRPr="00EA7926">
        <w:rPr>
          <w:rFonts w:ascii="Times New Roman" w:hAnsi="Times New Roman"/>
          <w:color w:val="000000"/>
          <w:sz w:val="24"/>
        </w:rPr>
        <w:t xml:space="preserve">како сигурен партнер. Во 2023 година играше активна улога во сложениот геополитички контекст во текот на својот мандат како претседавач со Организацијата за безбедност и соработка во Европа (ОБСЕ). Влијанието од воената агресија на Русија врз Украина, вклучително и високите цени на енергијата, </w:t>
      </w:r>
      <w:r w:rsidR="00E907E9">
        <w:rPr>
          <w:rFonts w:ascii="Times New Roman" w:hAnsi="Times New Roman"/>
          <w:color w:val="000000"/>
          <w:sz w:val="24"/>
        </w:rPr>
        <w:t xml:space="preserve">на </w:t>
      </w:r>
      <w:r w:rsidRPr="00EA7926">
        <w:rPr>
          <w:rFonts w:ascii="Times New Roman" w:hAnsi="Times New Roman"/>
          <w:color w:val="000000"/>
          <w:sz w:val="24"/>
        </w:rPr>
        <w:t xml:space="preserve">стоките и </w:t>
      </w:r>
      <w:r w:rsidR="007D7833">
        <w:rPr>
          <w:rFonts w:ascii="Times New Roman" w:hAnsi="Times New Roman"/>
          <w:color w:val="000000"/>
          <w:sz w:val="24"/>
        </w:rPr>
        <w:t xml:space="preserve">на </w:t>
      </w:r>
      <w:r w:rsidRPr="00EA7926">
        <w:rPr>
          <w:rFonts w:ascii="Times New Roman" w:hAnsi="Times New Roman"/>
          <w:color w:val="000000"/>
          <w:sz w:val="24"/>
        </w:rPr>
        <w:t>храната и прекините во синџирот на снабдување, силно ги погоди ранливите домаќинства, како и малите и средни претпријатија.</w:t>
      </w:r>
    </w:p>
    <w:p w:rsidR="004B28D4" w:rsidRPr="00432FA3" w:rsidRDefault="004B28D4" w:rsidP="004B28D4">
      <w:pPr>
        <w:pStyle w:val="Heading2"/>
      </w:pPr>
      <w:bookmarkStart w:id="5" w:name="bookmark2"/>
      <w:bookmarkStart w:id="6" w:name="_Toc150864242"/>
      <w:r w:rsidRPr="00EA7926">
        <w:t>1</w:t>
      </w:r>
      <w:bookmarkEnd w:id="5"/>
      <w:r w:rsidRPr="00EA7926">
        <w:t>.2.</w:t>
      </w:r>
      <w:r w:rsidRPr="00EA7926">
        <w:rPr>
          <w:sz w:val="14"/>
        </w:rPr>
        <w:tab/>
      </w:r>
      <w:r w:rsidRPr="00EA7926">
        <w:t xml:space="preserve">Резиме на </w:t>
      </w:r>
      <w:r w:rsidR="001D451C">
        <w:t>И</w:t>
      </w:r>
      <w:r w:rsidRPr="00EA7926">
        <w:t>звештајот</w:t>
      </w:r>
      <w:r w:rsidRPr="00EA7926">
        <w:rPr>
          <w:rStyle w:val="FootnoteReference"/>
          <w:b w:val="0"/>
          <w:bCs w:val="0"/>
          <w:smallCaps/>
          <w:color w:val="000000"/>
          <w:szCs w:val="24"/>
        </w:rPr>
        <w:footnoteReference w:id="1"/>
      </w:r>
      <w:bookmarkEnd w:id="6"/>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Извештајниот период се карактеризира со почетокот на процесот на пристапни преговори со ЕУ, вклучително и скрининг</w:t>
      </w:r>
      <w:r w:rsidR="00183329">
        <w:rPr>
          <w:rFonts w:ascii="Times New Roman" w:hAnsi="Times New Roman"/>
          <w:color w:val="000000"/>
          <w:sz w:val="24"/>
        </w:rPr>
        <w:t>-</w:t>
      </w:r>
      <w:r w:rsidRPr="00EA7926">
        <w:rPr>
          <w:rFonts w:ascii="Times New Roman" w:hAnsi="Times New Roman"/>
          <w:color w:val="000000"/>
          <w:sz w:val="24"/>
        </w:rPr>
        <w:t xml:space="preserve">процесот. Политичката состојба </w:t>
      </w:r>
      <w:r w:rsidR="0092323D" w:rsidRPr="00EA7926">
        <w:rPr>
          <w:rFonts w:ascii="Times New Roman" w:hAnsi="Times New Roman"/>
          <w:color w:val="000000"/>
          <w:sz w:val="24"/>
        </w:rPr>
        <w:t xml:space="preserve">и понатаму е </w:t>
      </w:r>
      <w:r w:rsidRPr="00EA7926">
        <w:rPr>
          <w:rFonts w:ascii="Times New Roman" w:hAnsi="Times New Roman"/>
          <w:color w:val="000000"/>
          <w:sz w:val="24"/>
        </w:rPr>
        <w:t xml:space="preserve">поларизирана, што </w:t>
      </w:r>
      <w:r w:rsidR="0092323D" w:rsidRPr="00EA7926">
        <w:rPr>
          <w:rFonts w:ascii="Times New Roman" w:hAnsi="Times New Roman"/>
          <w:color w:val="000000"/>
          <w:sz w:val="24"/>
        </w:rPr>
        <w:t xml:space="preserve">влијае </w:t>
      </w:r>
      <w:r w:rsidRPr="00EA7926">
        <w:rPr>
          <w:rFonts w:ascii="Times New Roman" w:hAnsi="Times New Roman"/>
          <w:color w:val="000000"/>
          <w:sz w:val="24"/>
        </w:rPr>
        <w:t>врз соодветното функционирање на демократските институции.</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Во однос на </w:t>
      </w:r>
      <w:r w:rsidRPr="00EA7926">
        <w:rPr>
          <w:rFonts w:ascii="Times New Roman" w:hAnsi="Times New Roman"/>
          <w:b/>
          <w:color w:val="000000"/>
          <w:sz w:val="24"/>
        </w:rPr>
        <w:t>политичките критериуми</w:t>
      </w:r>
      <w:r w:rsidRPr="00EA7926">
        <w:rPr>
          <w:rFonts w:ascii="Times New Roman" w:hAnsi="Times New Roman"/>
          <w:color w:val="000000"/>
          <w:sz w:val="24"/>
        </w:rPr>
        <w:t xml:space="preserve">, Северна Македонија продолжи со напорите за зајакнување на демократијата, </w:t>
      </w:r>
      <w:r w:rsidR="000F3C27" w:rsidRPr="00EA7926">
        <w:rPr>
          <w:rFonts w:ascii="Times New Roman" w:hAnsi="Times New Roman"/>
          <w:color w:val="000000"/>
          <w:sz w:val="24"/>
        </w:rPr>
        <w:t xml:space="preserve">а истовремено </w:t>
      </w:r>
      <w:r w:rsidRPr="00EA7926">
        <w:rPr>
          <w:rFonts w:ascii="Times New Roman" w:hAnsi="Times New Roman"/>
          <w:color w:val="000000"/>
          <w:sz w:val="24"/>
        </w:rPr>
        <w:t xml:space="preserve">се соочи со значителни предизвици во областа на владеењето на правото. </w:t>
      </w:r>
      <w:r w:rsidR="00E57A28">
        <w:rPr>
          <w:rFonts w:ascii="Times New Roman" w:hAnsi="Times New Roman"/>
          <w:color w:val="000000"/>
          <w:sz w:val="24"/>
        </w:rPr>
        <w:t>Главно</w:t>
      </w:r>
      <w:r w:rsidRPr="00EA7926">
        <w:rPr>
          <w:rFonts w:ascii="Times New Roman" w:hAnsi="Times New Roman"/>
          <w:color w:val="000000"/>
          <w:sz w:val="24"/>
        </w:rPr>
        <w:t xml:space="preserve">, правната рамка останува погодна за одржување демократски избори во Северна Македонија. Сепак, не е постигнат напредок во однос на </w:t>
      </w:r>
      <w:r w:rsidRPr="00432FA3">
        <w:rPr>
          <w:rFonts w:ascii="Times New Roman" w:hAnsi="Times New Roman"/>
          <w:color w:val="000000"/>
          <w:sz w:val="24"/>
        </w:rPr>
        <w:t xml:space="preserve">постапувањето по и спроведувањето на </w:t>
      </w:r>
      <w:r w:rsidRPr="00EA7926">
        <w:rPr>
          <w:rFonts w:ascii="Times New Roman" w:hAnsi="Times New Roman"/>
          <w:color w:val="000000"/>
          <w:sz w:val="24"/>
        </w:rPr>
        <w:t xml:space="preserve">преостанатите препораки од Канцеларијата на ОБСЕ за демократски институции и човекови права и </w:t>
      </w:r>
      <w:r w:rsidR="00972D91">
        <w:rPr>
          <w:rFonts w:ascii="Times New Roman" w:hAnsi="Times New Roman"/>
          <w:color w:val="000000"/>
          <w:sz w:val="24"/>
        </w:rPr>
        <w:t xml:space="preserve">од </w:t>
      </w:r>
      <w:r w:rsidRPr="00EA7926">
        <w:rPr>
          <w:rFonts w:ascii="Times New Roman" w:hAnsi="Times New Roman"/>
          <w:color w:val="000000"/>
          <w:sz w:val="24"/>
        </w:rPr>
        <w:t xml:space="preserve">Венецијанската комисија. Како што </w:t>
      </w:r>
      <w:r w:rsidR="000F3C27" w:rsidRPr="00EA7926">
        <w:rPr>
          <w:rFonts w:ascii="Times New Roman" w:hAnsi="Times New Roman"/>
          <w:color w:val="000000"/>
          <w:sz w:val="24"/>
        </w:rPr>
        <w:t xml:space="preserve">е </w:t>
      </w:r>
      <w:r w:rsidRPr="00EA7926">
        <w:rPr>
          <w:rFonts w:ascii="Times New Roman" w:hAnsi="Times New Roman"/>
          <w:color w:val="000000"/>
          <w:sz w:val="24"/>
        </w:rPr>
        <w:t>постојано посочувано во претходните извештаи, изборното законодавство треба сеопфатно да се прегледа за да се надминат недоследностите на навремен, инклузивен и транспарентен начин.</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Работата на Собранието беше нарушена поради политичка</w:t>
      </w:r>
      <w:r w:rsidR="00091919" w:rsidRPr="00EA7926">
        <w:rPr>
          <w:rFonts w:ascii="Times New Roman" w:hAnsi="Times New Roman"/>
          <w:color w:val="000000"/>
          <w:sz w:val="24"/>
        </w:rPr>
        <w:t>та</w:t>
      </w:r>
      <w:r w:rsidRPr="00EA7926">
        <w:rPr>
          <w:rFonts w:ascii="Times New Roman" w:hAnsi="Times New Roman"/>
          <w:color w:val="000000"/>
          <w:sz w:val="24"/>
        </w:rPr>
        <w:t xml:space="preserve"> поларизација, која дополнително се продлабочи, </w:t>
      </w:r>
      <w:r w:rsidR="00091919" w:rsidRPr="00EA7926">
        <w:rPr>
          <w:rFonts w:ascii="Times New Roman" w:hAnsi="Times New Roman"/>
          <w:color w:val="000000"/>
          <w:sz w:val="24"/>
        </w:rPr>
        <w:t xml:space="preserve">поради што се </w:t>
      </w:r>
      <w:r w:rsidRPr="00EA7926">
        <w:rPr>
          <w:rFonts w:ascii="Times New Roman" w:hAnsi="Times New Roman"/>
          <w:color w:val="000000"/>
          <w:sz w:val="24"/>
        </w:rPr>
        <w:t xml:space="preserve">одложи донесувањето на многу реформски закони и важни именувања. Процесот на пристапни преговори за влез во ЕУ бара широк консензус </w:t>
      </w:r>
      <w:r w:rsidR="005C255A">
        <w:rPr>
          <w:rFonts w:ascii="Times New Roman" w:hAnsi="Times New Roman"/>
          <w:color w:val="000000"/>
          <w:sz w:val="24"/>
        </w:rPr>
        <w:t>меѓу</w:t>
      </w:r>
      <w:r w:rsidRPr="00EA7926">
        <w:rPr>
          <w:rFonts w:ascii="Times New Roman" w:hAnsi="Times New Roman"/>
          <w:color w:val="000000"/>
          <w:sz w:val="24"/>
        </w:rPr>
        <w:t xml:space="preserve"> главните политички партии. Сите партии треба да се вклучат во конструктивен и инклузивен политички дијалог за да се зајакне улогата на Собранието.</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Собранието и Владата се заложија приоритетно да ги започнат и да ги постигнат релевантните уставни измени, со цел во Уставот да се внесат граѓаните </w:t>
      </w:r>
      <w:r w:rsidR="00B33A84">
        <w:rPr>
          <w:rFonts w:ascii="Times New Roman" w:hAnsi="Times New Roman"/>
          <w:color w:val="000000"/>
          <w:sz w:val="24"/>
        </w:rPr>
        <w:t>што</w:t>
      </w:r>
      <w:r w:rsidRPr="00EA7926">
        <w:rPr>
          <w:rFonts w:ascii="Times New Roman" w:hAnsi="Times New Roman"/>
          <w:color w:val="000000"/>
          <w:sz w:val="24"/>
        </w:rPr>
        <w:t xml:space="preserve"> живеат во рамките на државата, а кои се дел од други народи, како што се Бугарите. Прекумерно, а понекогаш и несоодветно беа употребени скратени постапки и „европското знаменце“, во некои случаи поради недостаток на консултации и лошо планирање на законодавниот календар. „Европското знаменце“ треба да се користи кога е директно поврзано со донесувањето закони чија главна цел е усогласување со </w:t>
      </w:r>
      <w:r w:rsidRPr="00EA7926">
        <w:rPr>
          <w:rFonts w:ascii="Times New Roman" w:hAnsi="Times New Roman"/>
          <w:i/>
          <w:color w:val="000000"/>
          <w:sz w:val="24"/>
        </w:rPr>
        <w:t>правото</w:t>
      </w:r>
      <w:r w:rsidRPr="00EA7926">
        <w:rPr>
          <w:rFonts w:ascii="Times New Roman" w:hAnsi="Times New Roman"/>
          <w:color w:val="000000"/>
          <w:sz w:val="24"/>
        </w:rPr>
        <w:t xml:space="preserve"> на ЕУ, а не за скратување на јавна</w:t>
      </w:r>
      <w:r w:rsidR="00091919" w:rsidRPr="00EA7926">
        <w:rPr>
          <w:rFonts w:ascii="Times New Roman" w:hAnsi="Times New Roman"/>
          <w:color w:val="000000"/>
          <w:sz w:val="24"/>
        </w:rPr>
        <w:t>та</w:t>
      </w:r>
      <w:r w:rsidRPr="00EA7926">
        <w:rPr>
          <w:rFonts w:ascii="Times New Roman" w:hAnsi="Times New Roman"/>
          <w:color w:val="000000"/>
          <w:sz w:val="24"/>
        </w:rPr>
        <w:t xml:space="preserve"> дебата за важни прашања. Собранискиот надзор врз работата на извршната власт редовно се вршеше преку пратенички прашања до министрите. Партиите не треба да штедат напори за исполнување на одамна задоцнетите обврски за внатрешни реформи произле</w:t>
      </w:r>
      <w:r w:rsidR="00091919" w:rsidRPr="00EA7926">
        <w:rPr>
          <w:rFonts w:ascii="Times New Roman" w:hAnsi="Times New Roman"/>
          <w:color w:val="000000"/>
          <w:sz w:val="24"/>
        </w:rPr>
        <w:t>зени</w:t>
      </w:r>
      <w:r w:rsidRPr="00EA7926">
        <w:rPr>
          <w:rFonts w:ascii="Times New Roman" w:hAnsi="Times New Roman"/>
          <w:color w:val="000000"/>
          <w:sz w:val="24"/>
        </w:rPr>
        <w:t xml:space="preserve"> од третиот круг на „Дијалогот Жан Моне“ во почетокот на 2020 година. Продолжува утврдувањето на кривичната одговорност за лицата што организира</w:t>
      </w:r>
      <w:r w:rsidR="00091919" w:rsidRPr="00EA7926">
        <w:rPr>
          <w:rFonts w:ascii="Times New Roman" w:hAnsi="Times New Roman"/>
          <w:color w:val="000000"/>
          <w:sz w:val="24"/>
        </w:rPr>
        <w:t>ле</w:t>
      </w:r>
      <w:r w:rsidRPr="00EA7926">
        <w:rPr>
          <w:rFonts w:ascii="Times New Roman" w:hAnsi="Times New Roman"/>
          <w:color w:val="000000"/>
          <w:sz w:val="24"/>
        </w:rPr>
        <w:t xml:space="preserve"> или изврши</w:t>
      </w:r>
      <w:r w:rsidR="00091919" w:rsidRPr="00EA7926">
        <w:rPr>
          <w:rFonts w:ascii="Times New Roman" w:hAnsi="Times New Roman"/>
          <w:color w:val="000000"/>
          <w:sz w:val="24"/>
        </w:rPr>
        <w:t>ле</w:t>
      </w:r>
      <w:r w:rsidRPr="00EA7926">
        <w:rPr>
          <w:rFonts w:ascii="Times New Roman" w:hAnsi="Times New Roman"/>
          <w:color w:val="000000"/>
          <w:sz w:val="24"/>
        </w:rPr>
        <w:t xml:space="preserve"> насилство во нападот врз Собранието на 27 април 2017 година. Потребно е брзо спроведување на препораките од Групата држави против корупцијата за да се зголеми транспарентноста на финансирањето на политичките партии. Собранието треба да обезбеди навремен преглед на законските извештаи што му ги праќаат државните агенции и тела.</w:t>
      </w:r>
    </w:p>
    <w:p w:rsidR="004B28D4" w:rsidRPr="00EA7926" w:rsidRDefault="00EB172B" w:rsidP="004B28D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rPr>
        <w:t>Главно</w:t>
      </w:r>
      <w:r w:rsidR="004B28D4" w:rsidRPr="00EA7926">
        <w:rPr>
          <w:rFonts w:ascii="Times New Roman" w:hAnsi="Times New Roman"/>
          <w:color w:val="000000"/>
          <w:sz w:val="24"/>
        </w:rPr>
        <w:t xml:space="preserve">, </w:t>
      </w:r>
      <w:r w:rsidR="004B28D4" w:rsidRPr="00EA7926">
        <w:rPr>
          <w:rFonts w:ascii="Times New Roman" w:hAnsi="Times New Roman"/>
          <w:b/>
          <w:color w:val="000000"/>
          <w:sz w:val="24"/>
        </w:rPr>
        <w:t>граѓанските организации</w:t>
      </w:r>
      <w:r w:rsidR="004B28D4" w:rsidRPr="00EA7926">
        <w:rPr>
          <w:rFonts w:ascii="Times New Roman" w:hAnsi="Times New Roman"/>
          <w:color w:val="000000"/>
          <w:sz w:val="24"/>
        </w:rPr>
        <w:t xml:space="preserve"> (ГО) во Северна Македонија продолжуваат да работат во поволно опкружување. Сепак, Владата треба да ги зголеми своите напори за вклучување на граѓанското општество во приоритетните области и </w:t>
      </w:r>
      <w:r w:rsidR="00844A5B">
        <w:rPr>
          <w:rFonts w:ascii="Times New Roman" w:hAnsi="Times New Roman"/>
          <w:color w:val="000000"/>
          <w:sz w:val="24"/>
        </w:rPr>
        <w:t xml:space="preserve">во </w:t>
      </w:r>
      <w:r w:rsidR="004B28D4" w:rsidRPr="00EA7926">
        <w:rPr>
          <w:rFonts w:ascii="Times New Roman" w:hAnsi="Times New Roman"/>
          <w:color w:val="000000"/>
          <w:sz w:val="24"/>
        </w:rPr>
        <w:t>консултативни</w:t>
      </w:r>
      <w:r w:rsidR="004D24F3">
        <w:rPr>
          <w:rFonts w:ascii="Times New Roman" w:hAnsi="Times New Roman"/>
          <w:color w:val="000000"/>
          <w:sz w:val="24"/>
        </w:rPr>
        <w:t>те</w:t>
      </w:r>
      <w:r w:rsidR="004B28D4" w:rsidRPr="00EA7926">
        <w:rPr>
          <w:rFonts w:ascii="Times New Roman" w:hAnsi="Times New Roman"/>
          <w:color w:val="000000"/>
          <w:sz w:val="24"/>
        </w:rPr>
        <w:t xml:space="preserve"> активности. ГО треба да имаат важна улога во реформскиот процес и да бидат вклучени во процесите на донесување одлуки. Сè уште постои потреба за изменување и </w:t>
      </w:r>
      <w:r w:rsidR="00A41B10">
        <w:rPr>
          <w:rFonts w:ascii="Times New Roman" w:hAnsi="Times New Roman"/>
          <w:color w:val="000000"/>
          <w:sz w:val="24"/>
        </w:rPr>
        <w:t xml:space="preserve">за </w:t>
      </w:r>
      <w:r w:rsidR="004B28D4" w:rsidRPr="00EA7926">
        <w:rPr>
          <w:rFonts w:ascii="Times New Roman" w:hAnsi="Times New Roman"/>
          <w:color w:val="000000"/>
          <w:sz w:val="24"/>
        </w:rPr>
        <w:t xml:space="preserve">спроведување во </w:t>
      </w:r>
      <w:r w:rsidR="00A41B10">
        <w:rPr>
          <w:rFonts w:ascii="Times New Roman" w:hAnsi="Times New Roman"/>
          <w:color w:val="000000"/>
          <w:sz w:val="24"/>
        </w:rPr>
        <w:t>практика</w:t>
      </w:r>
      <w:r w:rsidR="004B28D4" w:rsidRPr="00EA7926">
        <w:rPr>
          <w:rFonts w:ascii="Times New Roman" w:hAnsi="Times New Roman"/>
          <w:color w:val="000000"/>
          <w:sz w:val="24"/>
        </w:rPr>
        <w:t xml:space="preserve"> на постојните законски и финансиски рамки, особено за да се обезбедат конзистентни механизми за доделување јавн</w:t>
      </w:r>
      <w:r w:rsidR="00D30E94" w:rsidRPr="00EA7926">
        <w:rPr>
          <w:rFonts w:ascii="Times New Roman" w:hAnsi="Times New Roman"/>
          <w:color w:val="000000"/>
          <w:sz w:val="24"/>
        </w:rPr>
        <w:t>и</w:t>
      </w:r>
      <w:r w:rsidR="004B28D4" w:rsidRPr="00EA7926">
        <w:rPr>
          <w:rFonts w:ascii="Times New Roman" w:hAnsi="Times New Roman"/>
          <w:color w:val="000000"/>
          <w:sz w:val="24"/>
        </w:rPr>
        <w:t xml:space="preserve"> финанси</w:t>
      </w:r>
      <w:r w:rsidR="00D30E94" w:rsidRPr="00EA7926">
        <w:rPr>
          <w:rFonts w:ascii="Times New Roman" w:hAnsi="Times New Roman"/>
          <w:color w:val="000000"/>
          <w:sz w:val="24"/>
        </w:rPr>
        <w:t>и</w:t>
      </w:r>
      <w:r w:rsidR="004B28D4" w:rsidRPr="00EA7926">
        <w:rPr>
          <w:rFonts w:ascii="Times New Roman" w:hAnsi="Times New Roman"/>
          <w:color w:val="000000"/>
          <w:sz w:val="24"/>
        </w:rPr>
        <w:t xml:space="preserve"> на ГО. Потребно е Советот за соработка меѓу Владата и граѓанското општество да продолжи со своите активности.</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Земјата треба да го зајакне капацитетот за собраниски надзор над </w:t>
      </w:r>
      <w:r w:rsidRPr="00EA7926">
        <w:rPr>
          <w:rFonts w:ascii="Times New Roman" w:hAnsi="Times New Roman"/>
          <w:b/>
          <w:bCs/>
          <w:color w:val="000000"/>
          <w:sz w:val="24"/>
        </w:rPr>
        <w:t>разузнавачките служби</w:t>
      </w:r>
      <w:r w:rsidRPr="00EA7926">
        <w:rPr>
          <w:rFonts w:ascii="Times New Roman" w:hAnsi="Times New Roman"/>
          <w:color w:val="000000"/>
          <w:sz w:val="24"/>
        </w:rPr>
        <w:t>.</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Северна Македонија и понатаму е умерено подготвена во однос на </w:t>
      </w:r>
      <w:r w:rsidRPr="00EA7926">
        <w:rPr>
          <w:rFonts w:ascii="Times New Roman" w:hAnsi="Times New Roman"/>
          <w:b/>
          <w:color w:val="000000"/>
          <w:sz w:val="24"/>
        </w:rPr>
        <w:t>реформата на јавната администрација</w:t>
      </w:r>
      <w:r w:rsidRPr="00EA7926">
        <w:rPr>
          <w:rFonts w:ascii="Times New Roman" w:hAnsi="Times New Roman"/>
          <w:color w:val="000000"/>
          <w:sz w:val="24"/>
        </w:rPr>
        <w:t>. Во извештајниот период беше постигнат ограничен напредок со донесувањето на новата стратегија за реформа на јавната администрација и придружниот акциски план во јули 2023 година. И покрај тоа што го започна процесот пред пет години, земјата сè уште не ја доне</w:t>
      </w:r>
      <w:r w:rsidR="005F74EA" w:rsidRPr="00EA7926">
        <w:rPr>
          <w:rFonts w:ascii="Times New Roman" w:hAnsi="Times New Roman"/>
          <w:color w:val="000000"/>
          <w:sz w:val="24"/>
        </w:rPr>
        <w:t>ла</w:t>
      </w:r>
      <w:r w:rsidRPr="00EA7926">
        <w:rPr>
          <w:rFonts w:ascii="Times New Roman" w:hAnsi="Times New Roman"/>
          <w:color w:val="000000"/>
          <w:sz w:val="24"/>
        </w:rPr>
        <w:t xml:space="preserve"> ревидираната законска рамка за управување со човечки ресурси, која ги вклучува ревидираниот Закон за административни службеници, Законот за вработените во јавниот сектор и новите законски одредби за висока раководна служба. Новата рамка треба да го подобри управувањето со човечките ресурси во администрацијата и да помогне да се обезбед</w:t>
      </w:r>
      <w:r w:rsidR="0046029B" w:rsidRPr="00EA7926">
        <w:rPr>
          <w:rFonts w:ascii="Times New Roman" w:hAnsi="Times New Roman"/>
          <w:color w:val="000000"/>
          <w:sz w:val="24"/>
        </w:rPr>
        <w:t>и</w:t>
      </w:r>
      <w:r w:rsidRPr="00EA7926">
        <w:rPr>
          <w:rFonts w:ascii="Times New Roman" w:hAnsi="Times New Roman"/>
          <w:color w:val="000000"/>
          <w:sz w:val="24"/>
        </w:rPr>
        <w:t xml:space="preserve"> вработувања</w:t>
      </w:r>
      <w:r w:rsidR="0046029B" w:rsidRPr="00EA7926">
        <w:rPr>
          <w:rFonts w:ascii="Times New Roman" w:hAnsi="Times New Roman"/>
          <w:color w:val="000000"/>
          <w:sz w:val="24"/>
        </w:rPr>
        <w:t>та</w:t>
      </w:r>
      <w:r w:rsidRPr="00EA7926">
        <w:rPr>
          <w:rFonts w:ascii="Times New Roman" w:hAnsi="Times New Roman"/>
          <w:color w:val="000000"/>
          <w:sz w:val="24"/>
        </w:rPr>
        <w:t>, унапредувања</w:t>
      </w:r>
      <w:r w:rsidR="0046029B" w:rsidRPr="00EA7926">
        <w:rPr>
          <w:rFonts w:ascii="Times New Roman" w:hAnsi="Times New Roman"/>
          <w:color w:val="000000"/>
          <w:sz w:val="24"/>
        </w:rPr>
        <w:t>та</w:t>
      </w:r>
      <w:r w:rsidRPr="00EA7926">
        <w:rPr>
          <w:rFonts w:ascii="Times New Roman" w:hAnsi="Times New Roman"/>
          <w:color w:val="000000"/>
          <w:sz w:val="24"/>
        </w:rPr>
        <w:t xml:space="preserve"> и отпуштања</w:t>
      </w:r>
      <w:r w:rsidR="0046029B" w:rsidRPr="00EA7926">
        <w:rPr>
          <w:rFonts w:ascii="Times New Roman" w:hAnsi="Times New Roman"/>
          <w:color w:val="000000"/>
          <w:sz w:val="24"/>
        </w:rPr>
        <w:t>та да се извршуваат</w:t>
      </w:r>
      <w:r w:rsidRPr="00EA7926">
        <w:rPr>
          <w:rFonts w:ascii="Times New Roman" w:hAnsi="Times New Roman"/>
          <w:color w:val="000000"/>
          <w:sz w:val="24"/>
        </w:rPr>
        <w:t xml:space="preserve"> врз основа на заслуги на сите нивоа, вклучително и високото раководство. Законодавството сè уште не ги прифатило препораките на Државната комисија за спречување на корупцијата за непотизам, </w:t>
      </w:r>
      <w:r w:rsidR="0046029B" w:rsidRPr="00EA7926">
        <w:rPr>
          <w:rFonts w:ascii="Times New Roman" w:hAnsi="Times New Roman"/>
          <w:color w:val="000000"/>
          <w:sz w:val="24"/>
        </w:rPr>
        <w:t xml:space="preserve">кронизам </w:t>
      </w:r>
      <w:r w:rsidRPr="00EA7926">
        <w:rPr>
          <w:rFonts w:ascii="Times New Roman" w:hAnsi="Times New Roman"/>
          <w:color w:val="000000"/>
          <w:sz w:val="24"/>
        </w:rPr>
        <w:t xml:space="preserve">и политичко влијание при вработувањето во јавниот сектор и при именувањето членови на надзорните и </w:t>
      </w:r>
      <w:r w:rsidR="00EC192E">
        <w:rPr>
          <w:rFonts w:ascii="Times New Roman" w:hAnsi="Times New Roman"/>
          <w:color w:val="000000"/>
          <w:sz w:val="24"/>
        </w:rPr>
        <w:t xml:space="preserve">на </w:t>
      </w:r>
      <w:r w:rsidRPr="00EA7926">
        <w:rPr>
          <w:rFonts w:ascii="Times New Roman" w:hAnsi="Times New Roman"/>
          <w:color w:val="000000"/>
          <w:sz w:val="24"/>
        </w:rPr>
        <w:t>управните одбори. Подобрувањата во одговорноста во јавната администрација се поткоп</w:t>
      </w:r>
      <w:r w:rsidR="0046029B" w:rsidRPr="00EA7926">
        <w:rPr>
          <w:rFonts w:ascii="Times New Roman" w:hAnsi="Times New Roman"/>
          <w:color w:val="000000"/>
          <w:sz w:val="24"/>
        </w:rPr>
        <w:t>уваат</w:t>
      </w:r>
      <w:r w:rsidRPr="00EA7926">
        <w:rPr>
          <w:rFonts w:ascii="Times New Roman" w:hAnsi="Times New Roman"/>
          <w:color w:val="000000"/>
          <w:sz w:val="24"/>
        </w:rPr>
        <w:t xml:space="preserve"> со недонесувањето на новиот Закон за организација и работа на органите на државната управа. Во моментот се прават напори </w:t>
      </w:r>
      <w:r w:rsidR="0046029B" w:rsidRPr="00EA7926">
        <w:rPr>
          <w:rFonts w:ascii="Times New Roman" w:hAnsi="Times New Roman"/>
          <w:color w:val="000000"/>
          <w:sz w:val="24"/>
        </w:rPr>
        <w:t xml:space="preserve">за </w:t>
      </w:r>
      <w:r w:rsidRPr="00EA7926">
        <w:rPr>
          <w:rFonts w:ascii="Times New Roman" w:hAnsi="Times New Roman"/>
          <w:color w:val="000000"/>
          <w:sz w:val="24"/>
        </w:rPr>
        <w:t xml:space="preserve">да се подобри испораката на услуги за граѓаните и </w:t>
      </w:r>
      <w:r w:rsidR="00413E57">
        <w:rPr>
          <w:rFonts w:ascii="Times New Roman" w:hAnsi="Times New Roman"/>
          <w:color w:val="000000"/>
          <w:sz w:val="24"/>
        </w:rPr>
        <w:t xml:space="preserve">на </w:t>
      </w:r>
      <w:r w:rsidRPr="00EA7926">
        <w:rPr>
          <w:rFonts w:ascii="Times New Roman" w:hAnsi="Times New Roman"/>
          <w:color w:val="000000"/>
          <w:sz w:val="24"/>
        </w:rPr>
        <w:t>бизнисите.</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Подготвеноста на</w:t>
      </w:r>
      <w:r w:rsidRPr="00EA7926">
        <w:rPr>
          <w:rFonts w:ascii="Times New Roman" w:hAnsi="Times New Roman"/>
          <w:b/>
          <w:color w:val="000000"/>
          <w:sz w:val="24"/>
        </w:rPr>
        <w:t xml:space="preserve"> </w:t>
      </w:r>
      <w:r w:rsidR="00895212" w:rsidRPr="00EA7926">
        <w:rPr>
          <w:rFonts w:ascii="Times New Roman" w:hAnsi="Times New Roman"/>
          <w:b/>
          <w:color w:val="000000"/>
          <w:sz w:val="24"/>
        </w:rPr>
        <w:t xml:space="preserve">правосудниот </w:t>
      </w:r>
      <w:r w:rsidRPr="00EA7926">
        <w:rPr>
          <w:rFonts w:ascii="Times New Roman" w:hAnsi="Times New Roman"/>
          <w:b/>
          <w:color w:val="000000"/>
          <w:sz w:val="24"/>
        </w:rPr>
        <w:t xml:space="preserve">систем </w:t>
      </w:r>
      <w:r w:rsidRPr="00EA7926">
        <w:rPr>
          <w:rFonts w:ascii="Times New Roman" w:hAnsi="Times New Roman"/>
          <w:color w:val="000000"/>
          <w:sz w:val="24"/>
        </w:rPr>
        <w:t xml:space="preserve">во Северна Македонија е помеѓу одредено и умерено ниво. Во текот на извештајниот период не е постигнат напредок во однос на судството. Судскиот совет треба да се </w:t>
      </w:r>
      <w:r w:rsidR="00A758FB">
        <w:rPr>
          <w:rFonts w:ascii="Times New Roman" w:hAnsi="Times New Roman"/>
          <w:color w:val="000000"/>
          <w:sz w:val="24"/>
        </w:rPr>
        <w:t>зало</w:t>
      </w:r>
      <w:r w:rsidR="006B7188">
        <w:rPr>
          <w:rFonts w:ascii="Times New Roman" w:hAnsi="Times New Roman"/>
          <w:color w:val="000000"/>
          <w:sz w:val="24"/>
        </w:rPr>
        <w:t>жи</w:t>
      </w:r>
      <w:r w:rsidRPr="00EA7926">
        <w:rPr>
          <w:rFonts w:ascii="Times New Roman" w:hAnsi="Times New Roman"/>
          <w:color w:val="000000"/>
          <w:sz w:val="24"/>
        </w:rPr>
        <w:t xml:space="preserve"> за заштита на интегритетот и </w:t>
      </w:r>
      <w:r w:rsidR="00637AC6">
        <w:rPr>
          <w:rFonts w:ascii="Times New Roman" w:hAnsi="Times New Roman"/>
          <w:color w:val="000000"/>
          <w:sz w:val="24"/>
        </w:rPr>
        <w:t xml:space="preserve">на </w:t>
      </w:r>
      <w:r w:rsidRPr="00EA7926">
        <w:rPr>
          <w:rFonts w:ascii="Times New Roman" w:hAnsi="Times New Roman"/>
          <w:color w:val="000000"/>
          <w:sz w:val="24"/>
        </w:rPr>
        <w:t xml:space="preserve">независноста на судиите и </w:t>
      </w:r>
      <w:r w:rsidR="00BC453B">
        <w:rPr>
          <w:rFonts w:ascii="Times New Roman" w:hAnsi="Times New Roman"/>
          <w:color w:val="000000"/>
          <w:sz w:val="24"/>
        </w:rPr>
        <w:t xml:space="preserve">на </w:t>
      </w:r>
      <w:r w:rsidRPr="00EA7926">
        <w:rPr>
          <w:rFonts w:ascii="Times New Roman" w:hAnsi="Times New Roman"/>
          <w:color w:val="000000"/>
          <w:sz w:val="24"/>
        </w:rPr>
        <w:t>институциите и треба да се спротивстави на секое надворешно влијание. Контроверзното разрешување на претседател</w:t>
      </w:r>
      <w:r w:rsidR="008943D6" w:rsidRPr="00EA7926">
        <w:rPr>
          <w:rFonts w:ascii="Times New Roman" w:hAnsi="Times New Roman"/>
          <w:color w:val="000000"/>
          <w:sz w:val="24"/>
        </w:rPr>
        <w:t>ката</w:t>
      </w:r>
      <w:r w:rsidRPr="00EA7926">
        <w:rPr>
          <w:rFonts w:ascii="Times New Roman" w:hAnsi="Times New Roman"/>
          <w:color w:val="000000"/>
          <w:sz w:val="24"/>
        </w:rPr>
        <w:t xml:space="preserve"> на Судскиот совет предизвика загриженост за несоодветно политичко влијание. Доцни донесувањето на новата стратегија за реформи во правосудството, чија цел е подобрување на работата на институциите. Напредокот во спроведувањето на стратегиите за човечки ресурси за судството и </w:t>
      </w:r>
      <w:r w:rsidR="0019441E">
        <w:rPr>
          <w:rFonts w:ascii="Times New Roman" w:hAnsi="Times New Roman"/>
          <w:color w:val="000000"/>
          <w:sz w:val="24"/>
        </w:rPr>
        <w:t xml:space="preserve">за </w:t>
      </w:r>
      <w:r w:rsidRPr="00EA7926">
        <w:rPr>
          <w:rFonts w:ascii="Times New Roman" w:hAnsi="Times New Roman"/>
          <w:color w:val="000000"/>
          <w:sz w:val="24"/>
        </w:rPr>
        <w:t xml:space="preserve">обвинителството е ограничен. </w:t>
      </w:r>
      <w:r w:rsidRPr="00EA7926">
        <w:rPr>
          <w:rFonts w:ascii="Times New Roman" w:hAnsi="Times New Roman"/>
          <w:sz w:val="24"/>
        </w:rPr>
        <w:t xml:space="preserve">Недостигот на мерки за справување со влијанието на </w:t>
      </w:r>
      <w:r w:rsidR="004D24F3">
        <w:rPr>
          <w:rFonts w:ascii="Times New Roman" w:hAnsi="Times New Roman"/>
          <w:sz w:val="24"/>
        </w:rPr>
        <w:t>планираните</w:t>
      </w:r>
      <w:r w:rsidR="004D24F3" w:rsidRPr="00EA7926">
        <w:rPr>
          <w:rFonts w:ascii="Times New Roman" w:hAnsi="Times New Roman"/>
          <w:sz w:val="24"/>
        </w:rPr>
        <w:t xml:space="preserve"> </w:t>
      </w:r>
      <w:r w:rsidRPr="00EA7926">
        <w:rPr>
          <w:rFonts w:ascii="Times New Roman" w:hAnsi="Times New Roman"/>
          <w:sz w:val="24"/>
        </w:rPr>
        <w:t>пензионирања</w:t>
      </w:r>
      <w:r w:rsidR="008E61C6">
        <w:rPr>
          <w:rFonts w:ascii="Times New Roman" w:hAnsi="Times New Roman"/>
          <w:sz w:val="24"/>
        </w:rPr>
        <w:t>,</w:t>
      </w:r>
      <w:r w:rsidRPr="00EA7926">
        <w:rPr>
          <w:rFonts w:ascii="Times New Roman" w:hAnsi="Times New Roman"/>
          <w:sz w:val="24"/>
        </w:rPr>
        <w:t xml:space="preserve"> влијаеше </w:t>
      </w:r>
      <w:r w:rsidR="008E61C6">
        <w:rPr>
          <w:rFonts w:ascii="Times New Roman" w:hAnsi="Times New Roman"/>
          <w:sz w:val="24"/>
        </w:rPr>
        <w:t>врз</w:t>
      </w:r>
      <w:r w:rsidRPr="00EA7926">
        <w:rPr>
          <w:rFonts w:ascii="Times New Roman" w:hAnsi="Times New Roman"/>
          <w:sz w:val="24"/>
        </w:rPr>
        <w:t xml:space="preserve"> ефикасноста.</w:t>
      </w:r>
      <w:r w:rsidRPr="00EA7926">
        <w:rPr>
          <w:rFonts w:ascii="Times New Roman" w:hAnsi="Times New Roman"/>
          <w:color w:val="000000"/>
          <w:sz w:val="24"/>
        </w:rPr>
        <w:t xml:space="preserve"> Повеќето унапредувања за повисоките судови дополнително се одлож</w:t>
      </w:r>
      <w:r w:rsidR="008943D6" w:rsidRPr="00EA7926">
        <w:rPr>
          <w:rFonts w:ascii="Times New Roman" w:hAnsi="Times New Roman"/>
          <w:color w:val="000000"/>
          <w:sz w:val="24"/>
        </w:rPr>
        <w:t>ени</w:t>
      </w:r>
      <w:r w:rsidRPr="00EA7926">
        <w:rPr>
          <w:rFonts w:ascii="Times New Roman" w:hAnsi="Times New Roman"/>
          <w:color w:val="000000"/>
          <w:sz w:val="24"/>
        </w:rPr>
        <w:t>. Продолжи надградбата на автоматизираниот компјутерски систем за управување со судски предмети за случајна распределба на предметите во судовите. Сличен систем е воведен и во Јавното обвинителство.</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Во однос на </w:t>
      </w:r>
      <w:r w:rsidRPr="00EA7926">
        <w:rPr>
          <w:rFonts w:ascii="Times New Roman" w:hAnsi="Times New Roman"/>
          <w:b/>
          <w:color w:val="000000"/>
          <w:sz w:val="24"/>
        </w:rPr>
        <w:t>превенцијата и борбата против корупцијата</w:t>
      </w:r>
      <w:r w:rsidRPr="00432FA3">
        <w:rPr>
          <w:rFonts w:ascii="Times New Roman" w:hAnsi="Times New Roman"/>
          <w:color w:val="000000"/>
          <w:sz w:val="24"/>
        </w:rPr>
        <w:t>,</w:t>
      </w:r>
      <w:r w:rsidRPr="00EA7926">
        <w:rPr>
          <w:rFonts w:ascii="Times New Roman" w:hAnsi="Times New Roman"/>
          <w:color w:val="000000"/>
          <w:sz w:val="24"/>
        </w:rPr>
        <w:t xml:space="preserve"> подготвеноста на земјата е помеѓу одредено и умерено ниво. Не е постигнат </w:t>
      </w:r>
      <w:r w:rsidR="005B46BF" w:rsidRPr="00EA7926">
        <w:rPr>
          <w:rFonts w:ascii="Times New Roman" w:hAnsi="Times New Roman"/>
          <w:color w:val="000000"/>
          <w:sz w:val="24"/>
        </w:rPr>
        <w:t xml:space="preserve">никаков </w:t>
      </w:r>
      <w:r w:rsidRPr="00EA7926">
        <w:rPr>
          <w:rFonts w:ascii="Times New Roman" w:hAnsi="Times New Roman"/>
          <w:color w:val="000000"/>
          <w:sz w:val="24"/>
        </w:rPr>
        <w:t xml:space="preserve">напредок. Корупцијата останува распространета во многу области и претставува </w:t>
      </w:r>
      <w:r w:rsidR="005B46BF" w:rsidRPr="00EA7926">
        <w:rPr>
          <w:rFonts w:ascii="Times New Roman" w:hAnsi="Times New Roman"/>
          <w:color w:val="000000"/>
          <w:sz w:val="24"/>
        </w:rPr>
        <w:t xml:space="preserve">предмет на </w:t>
      </w:r>
      <w:r w:rsidRPr="00EA7926">
        <w:rPr>
          <w:rFonts w:ascii="Times New Roman" w:hAnsi="Times New Roman"/>
          <w:color w:val="000000"/>
          <w:sz w:val="24"/>
        </w:rPr>
        <w:t xml:space="preserve">загриженост. Се </w:t>
      </w:r>
      <w:r w:rsidR="009F2949">
        <w:rPr>
          <w:rFonts w:ascii="Times New Roman" w:hAnsi="Times New Roman"/>
          <w:color w:val="000000"/>
          <w:sz w:val="24"/>
        </w:rPr>
        <w:t>забележува</w:t>
      </w:r>
      <w:r w:rsidR="005B46BF" w:rsidRPr="00EA7926">
        <w:rPr>
          <w:rFonts w:ascii="Times New Roman" w:hAnsi="Times New Roman"/>
          <w:color w:val="000000"/>
          <w:sz w:val="24"/>
        </w:rPr>
        <w:t xml:space="preserve"> </w:t>
      </w:r>
      <w:r w:rsidRPr="00EA7926">
        <w:rPr>
          <w:rFonts w:ascii="Times New Roman" w:hAnsi="Times New Roman"/>
          <w:color w:val="000000"/>
          <w:sz w:val="24"/>
        </w:rPr>
        <w:t>зголем</w:t>
      </w:r>
      <w:r w:rsidR="005B46BF" w:rsidRPr="00EA7926">
        <w:rPr>
          <w:rFonts w:ascii="Times New Roman" w:hAnsi="Times New Roman"/>
          <w:color w:val="000000"/>
          <w:sz w:val="24"/>
        </w:rPr>
        <w:t>ување на</w:t>
      </w:r>
      <w:r w:rsidRPr="00EA7926">
        <w:rPr>
          <w:rFonts w:ascii="Times New Roman" w:hAnsi="Times New Roman"/>
          <w:color w:val="000000"/>
          <w:sz w:val="24"/>
        </w:rPr>
        <w:t xml:space="preserve"> одложувањата и </w:t>
      </w:r>
      <w:r w:rsidR="00E04B6D">
        <w:rPr>
          <w:rFonts w:ascii="Times New Roman" w:hAnsi="Times New Roman"/>
          <w:color w:val="000000"/>
          <w:sz w:val="24"/>
        </w:rPr>
        <w:t xml:space="preserve">на </w:t>
      </w:r>
      <w:r w:rsidRPr="00EA7926">
        <w:rPr>
          <w:rFonts w:ascii="Times New Roman" w:hAnsi="Times New Roman"/>
          <w:color w:val="000000"/>
          <w:sz w:val="24"/>
        </w:rPr>
        <w:t xml:space="preserve">повторувањата на судењата на случаите на корупција на високо ниво, што резултираше со застарување на некои случаи. Кривичниот законик е изменет </w:t>
      </w:r>
      <w:r w:rsidR="005B46BF" w:rsidRPr="00EA7926">
        <w:rPr>
          <w:rFonts w:ascii="Times New Roman" w:hAnsi="Times New Roman"/>
          <w:color w:val="000000"/>
          <w:sz w:val="24"/>
        </w:rPr>
        <w:t>в</w:t>
      </w:r>
      <w:r w:rsidRPr="00EA7926">
        <w:rPr>
          <w:rFonts w:ascii="Times New Roman" w:hAnsi="Times New Roman"/>
          <w:color w:val="000000"/>
          <w:sz w:val="24"/>
        </w:rPr>
        <w:t xml:space="preserve">о итна собраниска постапка. Максималните законски казни за конкретни кривични дела поврзани со корупција </w:t>
      </w:r>
      <w:r w:rsidR="005B46BF" w:rsidRPr="00EA7926">
        <w:rPr>
          <w:rFonts w:ascii="Times New Roman" w:hAnsi="Times New Roman"/>
          <w:color w:val="000000"/>
          <w:sz w:val="24"/>
        </w:rPr>
        <w:t>се</w:t>
      </w:r>
      <w:r w:rsidRPr="00EA7926">
        <w:rPr>
          <w:rFonts w:ascii="Times New Roman" w:hAnsi="Times New Roman"/>
          <w:color w:val="000000"/>
          <w:sz w:val="24"/>
        </w:rPr>
        <w:t xml:space="preserve"> намалени, </w:t>
      </w:r>
      <w:r w:rsidR="005B46BF" w:rsidRPr="00EA7926">
        <w:rPr>
          <w:rFonts w:ascii="Times New Roman" w:hAnsi="Times New Roman"/>
          <w:color w:val="000000"/>
          <w:sz w:val="24"/>
        </w:rPr>
        <w:t>со</w:t>
      </w:r>
      <w:r w:rsidRPr="00EA7926">
        <w:rPr>
          <w:rFonts w:ascii="Times New Roman" w:hAnsi="Times New Roman"/>
          <w:color w:val="000000"/>
          <w:sz w:val="24"/>
        </w:rPr>
        <w:t xml:space="preserve"> импликации врз примената на застареноста</w:t>
      </w:r>
      <w:r w:rsidR="00F6074B">
        <w:rPr>
          <w:rFonts w:ascii="Times New Roman" w:hAnsi="Times New Roman"/>
          <w:color w:val="000000"/>
          <w:sz w:val="24"/>
        </w:rPr>
        <w:t>,</w:t>
      </w:r>
      <w:r w:rsidRPr="00EA7926">
        <w:rPr>
          <w:rFonts w:ascii="Times New Roman" w:hAnsi="Times New Roman"/>
          <w:color w:val="000000"/>
          <w:sz w:val="24"/>
        </w:rPr>
        <w:t xml:space="preserve"> и влијае</w:t>
      </w:r>
      <w:r w:rsidR="00C13086">
        <w:rPr>
          <w:rFonts w:ascii="Times New Roman" w:hAnsi="Times New Roman"/>
          <w:color w:val="000000"/>
          <w:sz w:val="24"/>
        </w:rPr>
        <w:t>ја</w:t>
      </w:r>
      <w:r w:rsidRPr="00EA7926">
        <w:rPr>
          <w:rFonts w:ascii="Times New Roman" w:hAnsi="Times New Roman"/>
          <w:color w:val="000000"/>
          <w:sz w:val="24"/>
        </w:rPr>
        <w:t>, стопира</w:t>
      </w:r>
      <w:r w:rsidR="00C13086">
        <w:rPr>
          <w:rFonts w:ascii="Times New Roman" w:hAnsi="Times New Roman"/>
          <w:color w:val="000000"/>
          <w:sz w:val="24"/>
        </w:rPr>
        <w:t>а</w:t>
      </w:r>
      <w:r w:rsidRPr="00EA7926">
        <w:rPr>
          <w:rFonts w:ascii="Times New Roman" w:hAnsi="Times New Roman"/>
          <w:color w:val="000000"/>
          <w:sz w:val="24"/>
        </w:rPr>
        <w:t xml:space="preserve"> или дури прекинува</w:t>
      </w:r>
      <w:r w:rsidR="00C13086">
        <w:rPr>
          <w:rFonts w:ascii="Times New Roman" w:hAnsi="Times New Roman"/>
          <w:color w:val="000000"/>
          <w:sz w:val="24"/>
        </w:rPr>
        <w:t>а</w:t>
      </w:r>
      <w:r w:rsidRPr="00EA7926">
        <w:rPr>
          <w:rFonts w:ascii="Times New Roman" w:hAnsi="Times New Roman"/>
          <w:color w:val="000000"/>
          <w:sz w:val="24"/>
        </w:rPr>
        <w:t xml:space="preserve"> голем број случаи на корупција на високо ниво, вклучително и од поранешното Специјално јавно обвинителство (СЈО). Измените</w:t>
      </w:r>
      <w:r w:rsidR="00F6074B">
        <w:rPr>
          <w:rFonts w:ascii="Times New Roman" w:hAnsi="Times New Roman"/>
          <w:color w:val="000000"/>
          <w:sz w:val="24"/>
        </w:rPr>
        <w:t>,</w:t>
      </w:r>
      <w:r w:rsidRPr="00EA7926">
        <w:rPr>
          <w:rFonts w:ascii="Times New Roman" w:hAnsi="Times New Roman"/>
          <w:color w:val="000000"/>
          <w:sz w:val="24"/>
        </w:rPr>
        <w:t xml:space="preserve"> исто така, ја попречуваат способноста на органите да ги истражуваат и </w:t>
      </w:r>
      <w:r w:rsidR="00F6074B">
        <w:rPr>
          <w:rFonts w:ascii="Times New Roman" w:hAnsi="Times New Roman"/>
          <w:color w:val="000000"/>
          <w:sz w:val="24"/>
        </w:rPr>
        <w:t xml:space="preserve">да ги </w:t>
      </w:r>
      <w:r w:rsidRPr="00EA7926">
        <w:rPr>
          <w:rFonts w:ascii="Times New Roman" w:hAnsi="Times New Roman"/>
          <w:color w:val="000000"/>
          <w:sz w:val="24"/>
        </w:rPr>
        <w:t>гонат таквите прекршоци. Ова е прашање што предизвикува сериозна загриженост.</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Државната комисија за спречување на корупцијата беше проактивна при обезбедувањето политички насоки за јавните институции за спречување на корупцијата. </w:t>
      </w:r>
      <w:r w:rsidR="005B46BF" w:rsidRPr="00EA7926">
        <w:rPr>
          <w:rFonts w:ascii="Times New Roman" w:hAnsi="Times New Roman"/>
          <w:color w:val="000000"/>
          <w:sz w:val="24"/>
        </w:rPr>
        <w:t xml:space="preserve">Комисијата </w:t>
      </w:r>
      <w:r w:rsidRPr="00EA7926">
        <w:rPr>
          <w:rFonts w:ascii="Times New Roman" w:hAnsi="Times New Roman"/>
          <w:color w:val="000000"/>
          <w:sz w:val="24"/>
        </w:rPr>
        <w:t xml:space="preserve">отвори неколку случаи, но треба да се следат нејзините препораки. Треба да продолжат напорите за подобрување на функционирањето на ДКСК, особено со доделување дополнителни средства за вработување специјализиран кадар. Исто така, на Јавното обвинителство, </w:t>
      </w:r>
      <w:r w:rsidR="00BE5C05">
        <w:rPr>
          <w:rFonts w:ascii="Times New Roman" w:hAnsi="Times New Roman"/>
          <w:color w:val="000000"/>
          <w:sz w:val="24"/>
        </w:rPr>
        <w:t xml:space="preserve">на </w:t>
      </w:r>
      <w:r w:rsidRPr="00EA7926">
        <w:rPr>
          <w:rFonts w:ascii="Times New Roman" w:hAnsi="Times New Roman"/>
          <w:color w:val="000000"/>
          <w:sz w:val="24"/>
        </w:rPr>
        <w:t>истражните центри и</w:t>
      </w:r>
      <w:r w:rsidR="00BE5C05">
        <w:rPr>
          <w:rFonts w:ascii="Times New Roman" w:hAnsi="Times New Roman"/>
          <w:color w:val="000000"/>
          <w:sz w:val="24"/>
        </w:rPr>
        <w:t xml:space="preserve"> на</w:t>
      </w:r>
      <w:r w:rsidRPr="00EA7926">
        <w:rPr>
          <w:rFonts w:ascii="Times New Roman" w:hAnsi="Times New Roman"/>
          <w:color w:val="000000"/>
          <w:sz w:val="24"/>
        </w:rPr>
        <w:t xml:space="preserve"> единиците за спроведување на законот задолжени за истражување корупција</w:t>
      </w:r>
      <w:r w:rsidR="00551C90">
        <w:rPr>
          <w:rFonts w:ascii="Times New Roman" w:hAnsi="Times New Roman"/>
          <w:color w:val="000000"/>
          <w:sz w:val="24"/>
        </w:rPr>
        <w:t>,</w:t>
      </w:r>
      <w:r w:rsidRPr="00EA7926">
        <w:rPr>
          <w:rFonts w:ascii="Times New Roman" w:hAnsi="Times New Roman"/>
          <w:color w:val="000000"/>
          <w:sz w:val="24"/>
        </w:rPr>
        <w:t xml:space="preserve"> треба да им се стават на располагање дополнителни човечки и финансиски ресурси. </w:t>
      </w:r>
      <w:r w:rsidR="005B46BF" w:rsidRPr="00EA7926">
        <w:rPr>
          <w:rFonts w:ascii="Times New Roman" w:hAnsi="Times New Roman"/>
          <w:color w:val="000000"/>
          <w:sz w:val="24"/>
        </w:rPr>
        <w:t>За с</w:t>
      </w:r>
      <w:r w:rsidRPr="00EA7926">
        <w:rPr>
          <w:rFonts w:ascii="Times New Roman" w:hAnsi="Times New Roman"/>
          <w:color w:val="000000"/>
          <w:sz w:val="24"/>
        </w:rPr>
        <w:t xml:space="preserve">екторите </w:t>
      </w:r>
      <w:r w:rsidR="00551C90">
        <w:rPr>
          <w:rFonts w:ascii="Times New Roman" w:hAnsi="Times New Roman"/>
          <w:color w:val="000000"/>
          <w:sz w:val="24"/>
        </w:rPr>
        <w:t>што</w:t>
      </w:r>
      <w:r w:rsidRPr="00EA7926">
        <w:rPr>
          <w:rFonts w:ascii="Times New Roman" w:hAnsi="Times New Roman"/>
          <w:color w:val="000000"/>
          <w:sz w:val="24"/>
        </w:rPr>
        <w:t xml:space="preserve"> се најранливи на корупција</w:t>
      </w:r>
      <w:r w:rsidR="00515ACA">
        <w:rPr>
          <w:rFonts w:ascii="Times New Roman" w:hAnsi="Times New Roman"/>
          <w:color w:val="000000"/>
          <w:sz w:val="24"/>
        </w:rPr>
        <w:t>,</w:t>
      </w:r>
      <w:r w:rsidRPr="00EA7926">
        <w:rPr>
          <w:rFonts w:ascii="Times New Roman" w:hAnsi="Times New Roman"/>
          <w:color w:val="000000"/>
          <w:sz w:val="24"/>
        </w:rPr>
        <w:t xml:space="preserve"> </w:t>
      </w:r>
      <w:r w:rsidR="005B46BF" w:rsidRPr="00EA7926">
        <w:rPr>
          <w:rFonts w:ascii="Times New Roman" w:hAnsi="Times New Roman"/>
          <w:color w:val="000000"/>
          <w:sz w:val="24"/>
        </w:rPr>
        <w:t xml:space="preserve">неопходни се </w:t>
      </w:r>
      <w:r w:rsidRPr="00EA7926">
        <w:rPr>
          <w:rFonts w:ascii="Times New Roman" w:hAnsi="Times New Roman"/>
          <w:color w:val="000000"/>
          <w:sz w:val="24"/>
        </w:rPr>
        <w:t>насочени процени на ризи</w:t>
      </w:r>
      <w:r w:rsidR="005B46BF" w:rsidRPr="00EA7926">
        <w:rPr>
          <w:rFonts w:ascii="Times New Roman" w:hAnsi="Times New Roman"/>
          <w:color w:val="000000"/>
          <w:sz w:val="24"/>
        </w:rPr>
        <w:t>ците</w:t>
      </w:r>
      <w:r w:rsidRPr="00EA7926">
        <w:rPr>
          <w:rFonts w:ascii="Times New Roman" w:hAnsi="Times New Roman"/>
          <w:color w:val="000000"/>
          <w:sz w:val="24"/>
        </w:rPr>
        <w:t xml:space="preserve"> и </w:t>
      </w:r>
      <w:r w:rsidR="005B46BF" w:rsidRPr="00EA7926">
        <w:rPr>
          <w:rFonts w:ascii="Times New Roman" w:hAnsi="Times New Roman"/>
          <w:color w:val="000000"/>
          <w:sz w:val="24"/>
        </w:rPr>
        <w:t xml:space="preserve">наменски </w:t>
      </w:r>
      <w:r w:rsidRPr="00EA7926">
        <w:rPr>
          <w:rFonts w:ascii="Times New Roman" w:hAnsi="Times New Roman"/>
          <w:color w:val="000000"/>
          <w:sz w:val="24"/>
        </w:rPr>
        <w:t>активности.</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Северна Македонија има одредено ниво на подготвеност во </w:t>
      </w:r>
      <w:r w:rsidRPr="00432FA3">
        <w:rPr>
          <w:rFonts w:ascii="Times New Roman" w:hAnsi="Times New Roman"/>
          <w:color w:val="000000"/>
          <w:sz w:val="24"/>
        </w:rPr>
        <w:t xml:space="preserve">борбата против </w:t>
      </w:r>
      <w:r w:rsidRPr="00EA7926">
        <w:rPr>
          <w:rFonts w:ascii="Times New Roman" w:hAnsi="Times New Roman"/>
          <w:b/>
          <w:color w:val="000000"/>
          <w:sz w:val="24"/>
        </w:rPr>
        <w:t>организираниот криминал.</w:t>
      </w:r>
      <w:r w:rsidRPr="00EA7926">
        <w:rPr>
          <w:rFonts w:ascii="Times New Roman" w:hAnsi="Times New Roman"/>
          <w:color w:val="000000"/>
          <w:sz w:val="24"/>
        </w:rPr>
        <w:t xml:space="preserve"> Постигнат е одреден напредок во извештајниот период. Земјата продолжува да има добро ниво на оперативна соработка со земјите членки на ЕУ, </w:t>
      </w:r>
      <w:r w:rsidR="000E501C">
        <w:rPr>
          <w:rFonts w:ascii="Times New Roman" w:hAnsi="Times New Roman"/>
          <w:color w:val="000000"/>
          <w:sz w:val="24"/>
        </w:rPr>
        <w:t xml:space="preserve">со </w:t>
      </w:r>
      <w:r w:rsidRPr="00EA7926">
        <w:rPr>
          <w:rFonts w:ascii="Times New Roman" w:hAnsi="Times New Roman"/>
          <w:color w:val="000000"/>
          <w:sz w:val="24"/>
        </w:rPr>
        <w:t xml:space="preserve">соседните земји </w:t>
      </w:r>
      <w:r w:rsidR="00515ACA">
        <w:rPr>
          <w:rFonts w:ascii="Times New Roman" w:hAnsi="Times New Roman"/>
          <w:color w:val="000000"/>
          <w:sz w:val="24"/>
        </w:rPr>
        <w:t>што</w:t>
      </w:r>
      <w:r w:rsidRPr="00EA7926">
        <w:rPr>
          <w:rFonts w:ascii="Times New Roman" w:hAnsi="Times New Roman"/>
          <w:color w:val="000000"/>
          <w:sz w:val="24"/>
        </w:rPr>
        <w:t xml:space="preserve"> не се членки на ЕУ, </w:t>
      </w:r>
      <w:r w:rsidR="000E501C">
        <w:rPr>
          <w:rFonts w:ascii="Times New Roman" w:hAnsi="Times New Roman"/>
          <w:color w:val="000000"/>
          <w:sz w:val="24"/>
        </w:rPr>
        <w:t xml:space="preserve">со </w:t>
      </w:r>
      <w:r w:rsidRPr="00EA7926">
        <w:rPr>
          <w:rFonts w:ascii="Times New Roman" w:hAnsi="Times New Roman"/>
          <w:color w:val="000000"/>
          <w:sz w:val="24"/>
        </w:rPr>
        <w:t xml:space="preserve">Европол и Европравда. Новиот Закон за спречување перење пари и финансирање тероризам влезе во сила во јули 2022 година. Сега треба да се изготви и навремено да се донесе законодавство за спроведување. Треба да се </w:t>
      </w:r>
      <w:r w:rsidR="005B46BF" w:rsidRPr="00EA7926">
        <w:rPr>
          <w:rFonts w:ascii="Times New Roman" w:hAnsi="Times New Roman"/>
          <w:color w:val="000000"/>
          <w:sz w:val="24"/>
        </w:rPr>
        <w:t>вложат дополнителни напори</w:t>
      </w:r>
      <w:r w:rsidRPr="00EA7926">
        <w:rPr>
          <w:rFonts w:ascii="Times New Roman" w:hAnsi="Times New Roman"/>
          <w:color w:val="000000"/>
          <w:sz w:val="24"/>
        </w:rPr>
        <w:t xml:space="preserve"> за да се подобри ефективноста на спроведувањето на законите во борбата против одредени форми на криминал, </w:t>
      </w:r>
      <w:r w:rsidR="000E501C">
        <w:rPr>
          <w:rFonts w:ascii="Times New Roman" w:hAnsi="Times New Roman"/>
          <w:color w:val="000000"/>
          <w:sz w:val="24"/>
        </w:rPr>
        <w:t>какви</w:t>
      </w:r>
      <w:r w:rsidRPr="00EA7926">
        <w:rPr>
          <w:rFonts w:ascii="Times New Roman" w:hAnsi="Times New Roman"/>
          <w:color w:val="000000"/>
          <w:sz w:val="24"/>
        </w:rPr>
        <w:t xml:space="preserve"> што се перење пари и финансиски криминал. Северна Македонија треба да го донесе и </w:t>
      </w:r>
      <w:r w:rsidR="00CE5607">
        <w:rPr>
          <w:rFonts w:ascii="Times New Roman" w:hAnsi="Times New Roman"/>
          <w:color w:val="000000"/>
          <w:sz w:val="24"/>
        </w:rPr>
        <w:t xml:space="preserve">да го </w:t>
      </w:r>
      <w:r w:rsidRPr="00EA7926">
        <w:rPr>
          <w:rFonts w:ascii="Times New Roman" w:hAnsi="Times New Roman"/>
          <w:color w:val="000000"/>
          <w:sz w:val="24"/>
        </w:rPr>
        <w:t xml:space="preserve">спроведе потребното законодавство за </w:t>
      </w:r>
      <w:r w:rsidR="005B46BF" w:rsidRPr="00EA7926">
        <w:rPr>
          <w:rFonts w:ascii="Times New Roman" w:hAnsi="Times New Roman"/>
          <w:color w:val="000000"/>
          <w:sz w:val="24"/>
        </w:rPr>
        <w:t xml:space="preserve">уредување </w:t>
      </w:r>
      <w:r w:rsidRPr="00EA7926">
        <w:rPr>
          <w:rFonts w:ascii="Times New Roman" w:hAnsi="Times New Roman"/>
          <w:color w:val="000000"/>
          <w:sz w:val="24"/>
        </w:rPr>
        <w:t>на работата на Канцеларијата за поврат на имот. Треба да се зајакне капацитетот на Националниот координативен центар за сузбивање организиран и сериозен криминал. Координацијата останува клучна за сите засегнати страни вклучени во борбата против организираниот криминал, вклучително и меѓу обвинителите и полицијата.</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Постигнат е одреден напредок во </w:t>
      </w:r>
      <w:r w:rsidRPr="00EA7926">
        <w:rPr>
          <w:rFonts w:ascii="Times New Roman" w:hAnsi="Times New Roman"/>
          <w:b/>
          <w:color w:val="000000"/>
          <w:sz w:val="24"/>
        </w:rPr>
        <w:t>борбата против тероризмот и спречување насилен екстремизам</w:t>
      </w:r>
      <w:r w:rsidRPr="00EA7926">
        <w:rPr>
          <w:rFonts w:ascii="Times New Roman" w:hAnsi="Times New Roman"/>
          <w:color w:val="000000"/>
          <w:sz w:val="24"/>
        </w:rPr>
        <w:t xml:space="preserve"> во согласност со целите утврдени во Заедничкиот акциски план за борба против тероризмот за Западен Балкан и новиот билатерален договор за спроведување. Националните стратегии за борба против тероризмот (2023-2027) и </w:t>
      </w:r>
      <w:r w:rsidR="00FB1354">
        <w:rPr>
          <w:rFonts w:ascii="Times New Roman" w:hAnsi="Times New Roman"/>
          <w:color w:val="000000"/>
          <w:sz w:val="24"/>
        </w:rPr>
        <w:t xml:space="preserve">за </w:t>
      </w:r>
      <w:r w:rsidRPr="00EA7926">
        <w:rPr>
          <w:rFonts w:ascii="Times New Roman" w:hAnsi="Times New Roman"/>
          <w:color w:val="000000"/>
          <w:sz w:val="24"/>
        </w:rPr>
        <w:t>спречување на насилниот екстремизам (2023-2027), со поврзаните акциски планови, беа донесени во мај 2023 година.</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Северна Македонија е на една од главните транзитни </w:t>
      </w:r>
      <w:r w:rsidR="00CE5607">
        <w:rPr>
          <w:rFonts w:ascii="Times New Roman" w:hAnsi="Times New Roman"/>
          <w:color w:val="000000"/>
          <w:sz w:val="24"/>
        </w:rPr>
        <w:t>маршрути</w:t>
      </w:r>
      <w:r w:rsidRPr="00EA7926">
        <w:rPr>
          <w:rFonts w:ascii="Times New Roman" w:hAnsi="Times New Roman"/>
          <w:color w:val="000000"/>
          <w:sz w:val="24"/>
        </w:rPr>
        <w:t xml:space="preserve"> за миграциско движење. Земјата продолжува да игра активна улога во управувањето со </w:t>
      </w:r>
      <w:r w:rsidRPr="00EA7926">
        <w:rPr>
          <w:rFonts w:ascii="Times New Roman" w:hAnsi="Times New Roman"/>
          <w:b/>
          <w:color w:val="000000"/>
          <w:sz w:val="24"/>
        </w:rPr>
        <w:t>мешаните миграциски текови</w:t>
      </w:r>
      <w:r w:rsidRPr="00EA7926">
        <w:rPr>
          <w:rFonts w:ascii="Times New Roman" w:hAnsi="Times New Roman"/>
          <w:color w:val="000000"/>
          <w:sz w:val="24"/>
        </w:rPr>
        <w:t xml:space="preserve">. Продолжија напорите за осигурување основни услови за живот и услуги за сите мигранти во земјата. Меѓутоа, постои потреба од зајакнување на институционалните и </w:t>
      </w:r>
      <w:r w:rsidR="00FB1354">
        <w:rPr>
          <w:rFonts w:ascii="Times New Roman" w:hAnsi="Times New Roman"/>
          <w:color w:val="000000"/>
          <w:sz w:val="24"/>
        </w:rPr>
        <w:t xml:space="preserve">на </w:t>
      </w:r>
      <w:r w:rsidRPr="00EA7926">
        <w:rPr>
          <w:rFonts w:ascii="Times New Roman" w:hAnsi="Times New Roman"/>
          <w:color w:val="000000"/>
          <w:sz w:val="24"/>
        </w:rPr>
        <w:t xml:space="preserve">административните капацитети за сите аспекти на управувањето со миграцијата. Потребни се </w:t>
      </w:r>
      <w:r w:rsidR="00F91949" w:rsidRPr="00EA7926">
        <w:rPr>
          <w:rFonts w:ascii="Times New Roman" w:hAnsi="Times New Roman"/>
          <w:color w:val="000000"/>
          <w:sz w:val="24"/>
        </w:rPr>
        <w:t>повеќе вработени</w:t>
      </w:r>
      <w:r w:rsidRPr="00EA7926">
        <w:rPr>
          <w:rFonts w:ascii="Times New Roman" w:hAnsi="Times New Roman"/>
          <w:color w:val="000000"/>
          <w:sz w:val="24"/>
        </w:rPr>
        <w:t xml:space="preserve"> и дополнителни материјално-технички ресурси за да се зголеми капацитетот на задоволително ниво. Потребна е систематска регистрација на мигрантите, а треба да се подобри профилирањето </w:t>
      </w:r>
      <w:r w:rsidR="001F22F9">
        <w:rPr>
          <w:rFonts w:ascii="Times New Roman" w:hAnsi="Times New Roman"/>
          <w:color w:val="000000"/>
          <w:sz w:val="24"/>
        </w:rPr>
        <w:t>чувствително на заштита</w:t>
      </w:r>
      <w:r w:rsidRPr="00EA7926">
        <w:rPr>
          <w:rFonts w:ascii="Times New Roman" w:hAnsi="Times New Roman"/>
          <w:color w:val="000000"/>
          <w:sz w:val="24"/>
        </w:rPr>
        <w:t xml:space="preserve">. Земјата треба да воспостави соодветен систем за контрола на нерегуларното движење на луѓе и да ја прекине </w:t>
      </w:r>
      <w:r w:rsidR="006B4652">
        <w:rPr>
          <w:rFonts w:ascii="Times New Roman" w:hAnsi="Times New Roman"/>
          <w:color w:val="000000"/>
          <w:sz w:val="24"/>
        </w:rPr>
        <w:t>практиката</w:t>
      </w:r>
      <w:r w:rsidRPr="00EA7926">
        <w:rPr>
          <w:rFonts w:ascii="Times New Roman" w:hAnsi="Times New Roman"/>
          <w:color w:val="000000"/>
          <w:sz w:val="24"/>
        </w:rPr>
        <w:t xml:space="preserve"> на враќање на мигрантите </w:t>
      </w:r>
      <w:r w:rsidR="00225845" w:rsidRPr="00EA7926">
        <w:rPr>
          <w:rFonts w:ascii="Times New Roman" w:hAnsi="Times New Roman"/>
          <w:color w:val="000000"/>
          <w:sz w:val="24"/>
        </w:rPr>
        <w:t xml:space="preserve">надвор од правната </w:t>
      </w:r>
      <w:r w:rsidRPr="00EA7926">
        <w:rPr>
          <w:rFonts w:ascii="Times New Roman" w:hAnsi="Times New Roman"/>
          <w:color w:val="000000"/>
          <w:sz w:val="24"/>
        </w:rPr>
        <w:t xml:space="preserve">рамка. Треба да се финализира и </w:t>
      </w:r>
      <w:r w:rsidR="002F0C5B">
        <w:rPr>
          <w:rFonts w:ascii="Times New Roman" w:hAnsi="Times New Roman"/>
          <w:color w:val="000000"/>
          <w:sz w:val="24"/>
        </w:rPr>
        <w:t xml:space="preserve">да се </w:t>
      </w:r>
      <w:r w:rsidRPr="00EA7926">
        <w:rPr>
          <w:rFonts w:ascii="Times New Roman" w:hAnsi="Times New Roman"/>
          <w:color w:val="000000"/>
          <w:sz w:val="24"/>
        </w:rPr>
        <w:t>донесе план за вонредни ситуации за управување со големи миграциски текови. Договорот за статус за оперативна соработка во управувањето со границите со Европската агенција за гранична и крајбрежна стража (Фронтекс) влезе во сила на 1 април 2023 година, со што се овозможи почнување заедничка операција со распоредување гранична полиција од земјите членки на ЕУ за обезбедување поддршка при граничната контрола и управувањето со нерегуларна миграција и прекуграничен криминал.</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Правната рамка за </w:t>
      </w:r>
      <w:r w:rsidRPr="00EA7926">
        <w:rPr>
          <w:rFonts w:ascii="Times New Roman" w:hAnsi="Times New Roman"/>
          <w:b/>
          <w:color w:val="000000"/>
          <w:sz w:val="24"/>
        </w:rPr>
        <w:t xml:space="preserve">заштита на фундаменталните права е </w:t>
      </w:r>
      <w:r w:rsidRPr="00EA7926">
        <w:rPr>
          <w:rFonts w:ascii="Times New Roman" w:hAnsi="Times New Roman"/>
          <w:b/>
          <w:bCs/>
          <w:color w:val="000000"/>
          <w:sz w:val="24"/>
        </w:rPr>
        <w:t>делумно усогласена со</w:t>
      </w:r>
      <w:r w:rsidRPr="00EA7926">
        <w:rPr>
          <w:rFonts w:ascii="Times New Roman" w:hAnsi="Times New Roman"/>
          <w:b/>
          <w:color w:val="000000"/>
          <w:sz w:val="24"/>
        </w:rPr>
        <w:t xml:space="preserve"> </w:t>
      </w:r>
      <w:r w:rsidRPr="00EA7926">
        <w:rPr>
          <w:rFonts w:ascii="Times New Roman" w:hAnsi="Times New Roman"/>
          <w:i/>
          <w:color w:val="000000"/>
          <w:sz w:val="24"/>
        </w:rPr>
        <w:t xml:space="preserve">правото </w:t>
      </w:r>
      <w:r w:rsidRPr="004004ED">
        <w:rPr>
          <w:rFonts w:ascii="Times New Roman" w:hAnsi="Times New Roman"/>
          <w:color w:val="000000"/>
          <w:sz w:val="24"/>
        </w:rPr>
        <w:t>на ЕУ</w:t>
      </w:r>
      <w:r w:rsidRPr="00EA7926">
        <w:rPr>
          <w:rFonts w:ascii="Times New Roman" w:hAnsi="Times New Roman"/>
          <w:color w:val="000000"/>
          <w:sz w:val="24"/>
        </w:rPr>
        <w:t xml:space="preserve"> и</w:t>
      </w:r>
      <w:r w:rsidR="00672D3C">
        <w:rPr>
          <w:rFonts w:ascii="Times New Roman" w:hAnsi="Times New Roman"/>
          <w:color w:val="000000"/>
          <w:sz w:val="24"/>
        </w:rPr>
        <w:t xml:space="preserve"> со</w:t>
      </w:r>
      <w:r w:rsidRPr="00EA7926">
        <w:rPr>
          <w:rFonts w:ascii="Times New Roman" w:hAnsi="Times New Roman"/>
          <w:color w:val="000000"/>
          <w:sz w:val="24"/>
        </w:rPr>
        <w:t xml:space="preserve"> стандардите за фундаменталните права. Земјата продолжува да ги исполнува своите општи обврски во однос на фундаменталните права, но законодавството треба да се спроведува на посистематски начин. Некои значајни измени </w:t>
      </w:r>
      <w:r w:rsidR="00D043A8" w:rsidRPr="00EA7926">
        <w:rPr>
          <w:rFonts w:ascii="Times New Roman" w:hAnsi="Times New Roman"/>
          <w:color w:val="000000"/>
          <w:sz w:val="24"/>
        </w:rPr>
        <w:t xml:space="preserve">и дополнувања </w:t>
      </w:r>
      <w:r w:rsidRPr="00EA7926">
        <w:rPr>
          <w:rFonts w:ascii="Times New Roman" w:hAnsi="Times New Roman"/>
          <w:color w:val="000000"/>
          <w:sz w:val="24"/>
        </w:rPr>
        <w:t xml:space="preserve">на Кривичниот законик </w:t>
      </w:r>
      <w:r w:rsidR="00D043A8" w:rsidRPr="00EA7926">
        <w:rPr>
          <w:rFonts w:ascii="Times New Roman" w:hAnsi="Times New Roman"/>
          <w:color w:val="000000"/>
          <w:sz w:val="24"/>
        </w:rPr>
        <w:t xml:space="preserve">се </w:t>
      </w:r>
      <w:r w:rsidRPr="00EA7926">
        <w:rPr>
          <w:rFonts w:ascii="Times New Roman" w:hAnsi="Times New Roman"/>
          <w:color w:val="000000"/>
          <w:sz w:val="24"/>
        </w:rPr>
        <w:t xml:space="preserve">донесени во февруари 2023 година, со кои се </w:t>
      </w:r>
      <w:r w:rsidR="00D043A8" w:rsidRPr="00EA7926">
        <w:rPr>
          <w:rFonts w:ascii="Times New Roman" w:hAnsi="Times New Roman"/>
          <w:color w:val="000000"/>
          <w:sz w:val="24"/>
        </w:rPr>
        <w:t xml:space="preserve">уредуваат </w:t>
      </w:r>
      <w:r w:rsidRPr="00EA7926">
        <w:rPr>
          <w:rFonts w:ascii="Times New Roman" w:hAnsi="Times New Roman"/>
          <w:color w:val="000000"/>
          <w:sz w:val="24"/>
        </w:rPr>
        <w:t xml:space="preserve">кривичните дела на родово засновано насилство. Собранието треба да врши именувања </w:t>
      </w:r>
      <w:r w:rsidR="00C13086">
        <w:rPr>
          <w:rFonts w:ascii="Times New Roman" w:hAnsi="Times New Roman"/>
          <w:color w:val="000000"/>
          <w:sz w:val="24"/>
        </w:rPr>
        <w:t>во</w:t>
      </w:r>
      <w:r w:rsidRPr="00EA7926">
        <w:rPr>
          <w:rFonts w:ascii="Times New Roman" w:hAnsi="Times New Roman"/>
          <w:color w:val="000000"/>
          <w:sz w:val="24"/>
        </w:rPr>
        <w:t xml:space="preserve"> независни и регулаторни тела врз основа на заслуги. </w:t>
      </w:r>
      <w:r w:rsidR="00CB1ABC">
        <w:rPr>
          <w:rFonts w:ascii="Times New Roman" w:hAnsi="Times New Roman"/>
          <w:color w:val="000000"/>
          <w:sz w:val="24"/>
        </w:rPr>
        <w:t>П</w:t>
      </w:r>
      <w:r w:rsidR="00CB1ABC" w:rsidRPr="00EA7926">
        <w:rPr>
          <w:rFonts w:ascii="Times New Roman" w:hAnsi="Times New Roman"/>
          <w:color w:val="000000"/>
          <w:sz w:val="24"/>
        </w:rPr>
        <w:t xml:space="preserve">остојано </w:t>
      </w:r>
      <w:r w:rsidR="00CB1ABC">
        <w:rPr>
          <w:rFonts w:ascii="Times New Roman" w:hAnsi="Times New Roman"/>
          <w:color w:val="000000"/>
          <w:sz w:val="24"/>
        </w:rPr>
        <w:t xml:space="preserve">мора </w:t>
      </w:r>
      <w:r w:rsidR="00CB1ABC" w:rsidRPr="00EA7926">
        <w:rPr>
          <w:rFonts w:ascii="Times New Roman" w:hAnsi="Times New Roman"/>
          <w:color w:val="000000"/>
          <w:sz w:val="24"/>
        </w:rPr>
        <w:t xml:space="preserve">да се гарантира </w:t>
      </w:r>
      <w:r w:rsidR="00BB6E2C">
        <w:rPr>
          <w:rFonts w:ascii="Times New Roman" w:hAnsi="Times New Roman"/>
          <w:color w:val="000000"/>
          <w:sz w:val="24"/>
        </w:rPr>
        <w:t>ф</w:t>
      </w:r>
      <w:r w:rsidRPr="00EA7926">
        <w:rPr>
          <w:rFonts w:ascii="Times New Roman" w:hAnsi="Times New Roman"/>
          <w:color w:val="000000"/>
          <w:sz w:val="24"/>
        </w:rPr>
        <w:t xml:space="preserve">ункционалната независност на телата за човекови права. Тоа, меѓу другото, значи и </w:t>
      </w:r>
      <w:r w:rsidR="00EB1E7C" w:rsidRPr="00EA7926">
        <w:rPr>
          <w:rFonts w:ascii="Times New Roman" w:hAnsi="Times New Roman"/>
          <w:color w:val="000000"/>
          <w:sz w:val="24"/>
        </w:rPr>
        <w:t xml:space="preserve">доделување </w:t>
      </w:r>
      <w:r w:rsidRPr="00EA7926">
        <w:rPr>
          <w:rFonts w:ascii="Times New Roman" w:hAnsi="Times New Roman"/>
          <w:color w:val="000000"/>
          <w:sz w:val="24"/>
        </w:rPr>
        <w:t xml:space="preserve">доволно средства. Сè уште постои потребата за зајакнување и </w:t>
      </w:r>
      <w:r w:rsidR="00BB6E2C">
        <w:rPr>
          <w:rFonts w:ascii="Times New Roman" w:hAnsi="Times New Roman"/>
          <w:color w:val="000000"/>
          <w:sz w:val="24"/>
        </w:rPr>
        <w:t xml:space="preserve">за </w:t>
      </w:r>
      <w:r w:rsidRPr="00EA7926">
        <w:rPr>
          <w:rFonts w:ascii="Times New Roman" w:hAnsi="Times New Roman"/>
          <w:color w:val="000000"/>
          <w:sz w:val="24"/>
        </w:rPr>
        <w:t xml:space="preserve">соодветно финансирање на службите за жртви на родово засновано насилство за да </w:t>
      </w:r>
      <w:r w:rsidR="00232B15">
        <w:rPr>
          <w:rFonts w:ascii="Times New Roman" w:hAnsi="Times New Roman"/>
          <w:color w:val="000000"/>
          <w:sz w:val="24"/>
        </w:rPr>
        <w:t>се</w:t>
      </w:r>
      <w:r w:rsidRPr="00EA7926">
        <w:rPr>
          <w:rFonts w:ascii="Times New Roman" w:hAnsi="Times New Roman"/>
          <w:color w:val="000000"/>
          <w:sz w:val="24"/>
        </w:rPr>
        <w:t xml:space="preserve"> исполнат стандардите утврдени со Истанбулската конвенција. Лицата со попреченост и понатаму се соочуваат со директна и индиректна дискриминација, социјална исклученост и </w:t>
      </w:r>
      <w:r w:rsidR="008E6E56">
        <w:rPr>
          <w:rFonts w:ascii="Times New Roman" w:hAnsi="Times New Roman"/>
          <w:color w:val="000000"/>
          <w:sz w:val="24"/>
        </w:rPr>
        <w:t>препреки</w:t>
      </w:r>
      <w:r w:rsidRPr="00EA7926">
        <w:rPr>
          <w:rFonts w:ascii="Times New Roman" w:hAnsi="Times New Roman"/>
          <w:color w:val="000000"/>
          <w:sz w:val="24"/>
        </w:rPr>
        <w:t>. Канцеларијата на Народниот правобранител и Комисијата за спречување и заштита од дискриминација потпиша</w:t>
      </w:r>
      <w:r w:rsidR="00C13086">
        <w:rPr>
          <w:rFonts w:ascii="Times New Roman" w:hAnsi="Times New Roman"/>
          <w:color w:val="000000"/>
          <w:sz w:val="24"/>
        </w:rPr>
        <w:t>а</w:t>
      </w:r>
      <w:r w:rsidRPr="00EA7926">
        <w:rPr>
          <w:rFonts w:ascii="Times New Roman" w:hAnsi="Times New Roman"/>
          <w:color w:val="000000"/>
          <w:sz w:val="24"/>
        </w:rPr>
        <w:t xml:space="preserve"> меморандум за разбирање за да ја официјализираат нивната координација. Состојбата во затворите сѐ уште е </w:t>
      </w:r>
      <w:r w:rsidR="00EB1E7C" w:rsidRPr="00EA7926">
        <w:rPr>
          <w:rFonts w:ascii="Times New Roman" w:hAnsi="Times New Roman"/>
          <w:color w:val="000000"/>
          <w:sz w:val="24"/>
        </w:rPr>
        <w:t>катастрофална</w:t>
      </w:r>
      <w:r w:rsidRPr="00EA7926">
        <w:rPr>
          <w:rFonts w:ascii="Times New Roman" w:hAnsi="Times New Roman"/>
          <w:color w:val="000000"/>
          <w:sz w:val="24"/>
        </w:rPr>
        <w:t>. Препораките</w:t>
      </w:r>
      <w:r w:rsidR="00873720">
        <w:rPr>
          <w:rFonts w:ascii="Times New Roman" w:hAnsi="Times New Roman"/>
          <w:color w:val="000000"/>
          <w:sz w:val="24"/>
        </w:rPr>
        <w:t xml:space="preserve"> на</w:t>
      </w:r>
      <w:r w:rsidRPr="00EA7926">
        <w:rPr>
          <w:rFonts w:ascii="Times New Roman" w:hAnsi="Times New Roman"/>
          <w:color w:val="000000"/>
          <w:sz w:val="24"/>
        </w:rPr>
        <w:t xml:space="preserve"> Европскиот комитет за спречување тортура во однос на постапувањето со притворени и </w:t>
      </w:r>
      <w:r w:rsidR="009C7F22">
        <w:rPr>
          <w:rFonts w:ascii="Times New Roman" w:hAnsi="Times New Roman"/>
          <w:color w:val="000000"/>
          <w:sz w:val="24"/>
        </w:rPr>
        <w:t xml:space="preserve">со </w:t>
      </w:r>
      <w:r w:rsidRPr="00EA7926">
        <w:rPr>
          <w:rFonts w:ascii="Times New Roman" w:hAnsi="Times New Roman"/>
          <w:color w:val="000000"/>
          <w:sz w:val="24"/>
        </w:rPr>
        <w:t xml:space="preserve">осудени лица не </w:t>
      </w:r>
      <w:r w:rsidR="00EB1E7C" w:rsidRPr="00EA7926">
        <w:rPr>
          <w:rFonts w:ascii="Times New Roman" w:hAnsi="Times New Roman"/>
          <w:color w:val="000000"/>
          <w:sz w:val="24"/>
        </w:rPr>
        <w:t xml:space="preserve">се </w:t>
      </w:r>
      <w:r w:rsidRPr="00EA7926">
        <w:rPr>
          <w:rFonts w:ascii="Times New Roman" w:hAnsi="Times New Roman"/>
          <w:color w:val="000000"/>
          <w:sz w:val="24"/>
        </w:rPr>
        <w:t xml:space="preserve">спроведени, што предизвикува сериозна загриженост. Условите за притвор треба итно да се подобрат. Посебно внимание треба да се посвети на промовирање недискриминација, зголемување на ефективноста во справувањето со криминалот од омраза и говорот на омраза и зајакнување на капацитетот и </w:t>
      </w:r>
      <w:r w:rsidR="009B00C6">
        <w:rPr>
          <w:rFonts w:ascii="Times New Roman" w:hAnsi="Times New Roman"/>
          <w:color w:val="000000"/>
          <w:sz w:val="24"/>
        </w:rPr>
        <w:t xml:space="preserve">на </w:t>
      </w:r>
      <w:r w:rsidRPr="00EA7926">
        <w:rPr>
          <w:rFonts w:ascii="Times New Roman" w:hAnsi="Times New Roman"/>
          <w:color w:val="000000"/>
          <w:sz w:val="24"/>
        </w:rPr>
        <w:t xml:space="preserve">независноста на институциите задолжени за заштита на правата на лицата </w:t>
      </w:r>
      <w:r w:rsidR="009B00C6">
        <w:rPr>
          <w:rFonts w:ascii="Times New Roman" w:hAnsi="Times New Roman"/>
          <w:color w:val="000000"/>
          <w:sz w:val="24"/>
        </w:rPr>
        <w:t>што им</w:t>
      </w:r>
      <w:r w:rsidRPr="00EA7926">
        <w:rPr>
          <w:rFonts w:ascii="Times New Roman" w:hAnsi="Times New Roman"/>
          <w:color w:val="000000"/>
          <w:sz w:val="24"/>
        </w:rPr>
        <w:t xml:space="preserve"> припаѓаат на малцинствата или </w:t>
      </w:r>
      <w:r w:rsidR="00616575">
        <w:rPr>
          <w:rFonts w:ascii="Times New Roman" w:hAnsi="Times New Roman"/>
          <w:color w:val="000000"/>
          <w:sz w:val="24"/>
        </w:rPr>
        <w:t xml:space="preserve">на </w:t>
      </w:r>
      <w:r w:rsidRPr="00EA7926">
        <w:rPr>
          <w:rFonts w:ascii="Times New Roman" w:hAnsi="Times New Roman"/>
          <w:color w:val="000000"/>
          <w:sz w:val="24"/>
        </w:rPr>
        <w:t xml:space="preserve">заедниците. Агенцијата за остварување на правата на заедниците треба да добие доволно средства за понатамошно промовирање на заштитата на малцинствата и </w:t>
      </w:r>
      <w:r w:rsidR="006F54DA">
        <w:rPr>
          <w:rFonts w:ascii="Times New Roman" w:hAnsi="Times New Roman"/>
          <w:color w:val="000000"/>
          <w:sz w:val="24"/>
        </w:rPr>
        <w:t xml:space="preserve">за </w:t>
      </w:r>
      <w:r w:rsidRPr="00EA7926">
        <w:rPr>
          <w:rFonts w:ascii="Times New Roman" w:hAnsi="Times New Roman"/>
          <w:color w:val="000000"/>
          <w:sz w:val="24"/>
        </w:rPr>
        <w:t xml:space="preserve">спроведувањето на националната стратегија „Едно општество за сите и интеркултурализам“. Треба да се зајакне капацитетот на службениците за спроведување на законот и кривичната правда за ефикасно спречување и кривично гонење на сите случаи на насилство, криминал од омраза и говор на омраза. Надворешниот надзорен механизам на полицијата, вклучително и </w:t>
      </w:r>
      <w:r w:rsidR="006F54DA">
        <w:rPr>
          <w:rFonts w:ascii="Times New Roman" w:hAnsi="Times New Roman"/>
          <w:color w:val="000000"/>
          <w:sz w:val="24"/>
        </w:rPr>
        <w:t xml:space="preserve">на </w:t>
      </w:r>
      <w:r w:rsidRPr="00EA7926">
        <w:rPr>
          <w:rFonts w:ascii="Times New Roman" w:hAnsi="Times New Roman"/>
          <w:color w:val="000000"/>
          <w:sz w:val="24"/>
        </w:rPr>
        <w:t>затворската полиција, сè уште не е целосно функционален, а тројцата претставници на ГО допрва треба да бидат избрани од Собранието. Донесените измени на Законот за матичната евиденција го отвораат патот кон решавање на случаите на бездржавјанство и исполнување на меѓународните обврски на земјата.</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Подготвеноста на Северна Македонија е помеѓу одредено и умерено ниво во областа на </w:t>
      </w:r>
      <w:r w:rsidRPr="00EA7926">
        <w:rPr>
          <w:rFonts w:ascii="Times New Roman" w:hAnsi="Times New Roman"/>
          <w:b/>
          <w:color w:val="000000"/>
          <w:sz w:val="24"/>
        </w:rPr>
        <w:t>слободата на изразување</w:t>
      </w:r>
      <w:r w:rsidRPr="00EA7926">
        <w:rPr>
          <w:rFonts w:ascii="Times New Roman" w:hAnsi="Times New Roman"/>
          <w:color w:val="000000"/>
          <w:sz w:val="24"/>
        </w:rPr>
        <w:t>. Севкупно, постигнат</w:t>
      </w:r>
      <w:r w:rsidR="00E52D1F" w:rsidRPr="00EA7926">
        <w:rPr>
          <w:rFonts w:ascii="Times New Roman" w:hAnsi="Times New Roman"/>
          <w:color w:val="000000"/>
          <w:sz w:val="24"/>
        </w:rPr>
        <w:t xml:space="preserve"> е</w:t>
      </w:r>
      <w:r w:rsidRPr="00EA7926">
        <w:rPr>
          <w:rFonts w:ascii="Times New Roman" w:hAnsi="Times New Roman"/>
          <w:color w:val="000000"/>
          <w:sz w:val="24"/>
        </w:rPr>
        <w:t xml:space="preserve"> ограничен напредок. Општиот контекст за слободата на медиумите е поволен и овозможува критичко медиумско известување. Измен</w:t>
      </w:r>
      <w:r w:rsidR="00E52D1F" w:rsidRPr="00EA7926">
        <w:rPr>
          <w:rFonts w:ascii="Times New Roman" w:hAnsi="Times New Roman"/>
          <w:color w:val="000000"/>
          <w:sz w:val="24"/>
        </w:rPr>
        <w:t xml:space="preserve">ите и дополнувањата </w:t>
      </w:r>
      <w:r w:rsidR="00C13086">
        <w:rPr>
          <w:rFonts w:ascii="Times New Roman" w:hAnsi="Times New Roman"/>
          <w:color w:val="000000"/>
          <w:sz w:val="24"/>
        </w:rPr>
        <w:t>на</w:t>
      </w:r>
      <w:r w:rsidR="00E52D1F" w:rsidRPr="00EA7926">
        <w:rPr>
          <w:rFonts w:ascii="Times New Roman" w:hAnsi="Times New Roman"/>
          <w:color w:val="000000"/>
          <w:sz w:val="24"/>
        </w:rPr>
        <w:t xml:space="preserve"> </w:t>
      </w:r>
      <w:r w:rsidRPr="00EA7926">
        <w:rPr>
          <w:rFonts w:ascii="Times New Roman" w:hAnsi="Times New Roman"/>
          <w:color w:val="000000"/>
          <w:sz w:val="24"/>
        </w:rPr>
        <w:t>Кривич</w:t>
      </w:r>
      <w:r w:rsidR="00C13086">
        <w:rPr>
          <w:rFonts w:ascii="Times New Roman" w:hAnsi="Times New Roman"/>
          <w:color w:val="000000"/>
          <w:sz w:val="24"/>
        </w:rPr>
        <w:t>ниот</w:t>
      </w:r>
      <w:r w:rsidRPr="00EA7926">
        <w:rPr>
          <w:rFonts w:ascii="Times New Roman" w:hAnsi="Times New Roman"/>
          <w:color w:val="000000"/>
          <w:sz w:val="24"/>
        </w:rPr>
        <w:t xml:space="preserve"> законик и </w:t>
      </w:r>
      <w:r w:rsidR="00C33F35">
        <w:rPr>
          <w:rFonts w:ascii="Times New Roman" w:hAnsi="Times New Roman"/>
          <w:color w:val="000000"/>
          <w:sz w:val="24"/>
        </w:rPr>
        <w:t xml:space="preserve">на </w:t>
      </w:r>
      <w:r w:rsidRPr="00EA7926">
        <w:rPr>
          <w:rFonts w:ascii="Times New Roman" w:hAnsi="Times New Roman"/>
          <w:color w:val="000000"/>
          <w:sz w:val="24"/>
        </w:rPr>
        <w:t>Законот за граѓанска одговорност за навреда и клевета го подигн</w:t>
      </w:r>
      <w:r w:rsidR="00C13086">
        <w:rPr>
          <w:rFonts w:ascii="Times New Roman" w:hAnsi="Times New Roman"/>
          <w:color w:val="000000"/>
          <w:sz w:val="24"/>
        </w:rPr>
        <w:t>а</w:t>
      </w:r>
      <w:r w:rsidRPr="00EA7926">
        <w:rPr>
          <w:rFonts w:ascii="Times New Roman" w:hAnsi="Times New Roman"/>
          <w:color w:val="000000"/>
          <w:sz w:val="24"/>
        </w:rPr>
        <w:t xml:space="preserve"> севкупното ниво на правна заштита на новинарите. Меѓутоа, забележани се голем број напади, закани и одредено заплашување на новинарите. Треба да се обезбеди поголема транспарентност при рекламирањето на државните институции и </w:t>
      </w:r>
      <w:r w:rsidR="00C33F35">
        <w:rPr>
          <w:rFonts w:ascii="Times New Roman" w:hAnsi="Times New Roman"/>
          <w:color w:val="000000"/>
          <w:sz w:val="24"/>
        </w:rPr>
        <w:t xml:space="preserve">на </w:t>
      </w:r>
      <w:r w:rsidRPr="00EA7926">
        <w:rPr>
          <w:rFonts w:ascii="Times New Roman" w:hAnsi="Times New Roman"/>
          <w:color w:val="000000"/>
          <w:sz w:val="24"/>
        </w:rPr>
        <w:t>политичките партии во медиумите. Потребна е реформа на јавниот радиодифузен сервис за да се зајакн</w:t>
      </w:r>
      <w:r w:rsidR="00E4122E" w:rsidRPr="00EA7926">
        <w:rPr>
          <w:rFonts w:ascii="Times New Roman" w:hAnsi="Times New Roman"/>
          <w:color w:val="000000"/>
          <w:sz w:val="24"/>
        </w:rPr>
        <w:t>е</w:t>
      </w:r>
      <w:r w:rsidRPr="00EA7926">
        <w:rPr>
          <w:rFonts w:ascii="Times New Roman" w:hAnsi="Times New Roman"/>
          <w:color w:val="000000"/>
          <w:sz w:val="24"/>
        </w:rPr>
        <w:t xml:space="preserve"> неговата независност, професионалните стандарди и финансиската одржливост. Од декември 2018 година Собранието го одложува назначувањето на програмскиот совет на јавниот радиодифузен сервис и </w:t>
      </w:r>
      <w:r w:rsidR="00E4122E" w:rsidRPr="00EA7926">
        <w:rPr>
          <w:rFonts w:ascii="Times New Roman" w:hAnsi="Times New Roman"/>
          <w:color w:val="000000"/>
          <w:sz w:val="24"/>
        </w:rPr>
        <w:t>с</w:t>
      </w:r>
      <w:r w:rsidRPr="00EA7926">
        <w:rPr>
          <w:rFonts w:ascii="Times New Roman" w:hAnsi="Times New Roman"/>
          <w:color w:val="000000"/>
          <w:sz w:val="24"/>
        </w:rPr>
        <w:t xml:space="preserve">оветот на регулаторот за медиуми. Условите за работа на новинарите </w:t>
      </w:r>
      <w:r w:rsidR="00E4122E" w:rsidRPr="00EA7926">
        <w:rPr>
          <w:rFonts w:ascii="Times New Roman" w:hAnsi="Times New Roman"/>
          <w:color w:val="000000"/>
          <w:sz w:val="24"/>
        </w:rPr>
        <w:t>и понатаму се проблематични</w:t>
      </w:r>
      <w:r w:rsidRPr="00EA7926">
        <w:rPr>
          <w:rFonts w:ascii="Times New Roman" w:hAnsi="Times New Roman"/>
          <w:color w:val="000000"/>
          <w:sz w:val="24"/>
        </w:rPr>
        <w:t>.</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Во однос на </w:t>
      </w:r>
      <w:r w:rsidRPr="00EA7926">
        <w:rPr>
          <w:rFonts w:ascii="Times New Roman" w:hAnsi="Times New Roman"/>
          <w:b/>
          <w:color w:val="000000"/>
          <w:sz w:val="24"/>
        </w:rPr>
        <w:t>економските критериуми</w:t>
      </w:r>
      <w:r w:rsidRPr="00EA7926">
        <w:rPr>
          <w:rFonts w:ascii="Times New Roman" w:hAnsi="Times New Roman"/>
          <w:color w:val="000000"/>
          <w:sz w:val="24"/>
        </w:rPr>
        <w:t>, Северна Македонија постигна одреден напредок и е на добро ниво на подготвеност за развој</w:t>
      </w:r>
      <w:r w:rsidR="00E4122E" w:rsidRPr="00EA7926">
        <w:rPr>
          <w:rFonts w:ascii="Times New Roman" w:hAnsi="Times New Roman"/>
          <w:color w:val="000000"/>
          <w:sz w:val="24"/>
        </w:rPr>
        <w:t>от</w:t>
      </w:r>
      <w:r w:rsidRPr="00EA7926">
        <w:rPr>
          <w:rFonts w:ascii="Times New Roman" w:hAnsi="Times New Roman"/>
          <w:color w:val="000000"/>
          <w:sz w:val="24"/>
        </w:rPr>
        <w:t xml:space="preserve"> на функционална пазарна економија. Во 2022 година економијата беше тешко погодена од последиците од руската воена агресија врз Украина, кои значително го забавија нејзиното закрепнување по кризата со КОВИД-19. Владата ги поддржуваше домаќинствата и бизнисите со големи енергетски субвенции, намалувања на даноците и насочена директна поддршка на приход</w:t>
      </w:r>
      <w:r w:rsidR="00E4122E" w:rsidRPr="00EA7926">
        <w:rPr>
          <w:rFonts w:ascii="Times New Roman" w:hAnsi="Times New Roman"/>
          <w:color w:val="000000"/>
          <w:sz w:val="24"/>
        </w:rPr>
        <w:t>ите</w:t>
      </w:r>
      <w:r w:rsidRPr="00EA7926">
        <w:rPr>
          <w:rFonts w:ascii="Times New Roman" w:hAnsi="Times New Roman"/>
          <w:color w:val="000000"/>
          <w:sz w:val="24"/>
        </w:rPr>
        <w:t xml:space="preserve">. </w:t>
      </w:r>
      <w:r w:rsidRPr="00EA7926">
        <w:rPr>
          <w:rFonts w:ascii="Times New Roman" w:hAnsi="Times New Roman"/>
          <w:sz w:val="24"/>
        </w:rPr>
        <w:t>Како резултат на зголемувањето на даночните приходи поттикнато од инфлацијата и на недоволното извршување на неколку категории расходи, општиот државен дефицит остана под ревидираната цел.</w:t>
      </w:r>
      <w:r w:rsidRPr="00EA7926">
        <w:rPr>
          <w:rFonts w:ascii="Times New Roman" w:hAnsi="Times New Roman"/>
          <w:color w:val="000000"/>
          <w:sz w:val="24"/>
        </w:rPr>
        <w:t xml:space="preserve"> Капиталните расходи беа значително зголемени, но сепак беа под ревидираниот план. Соодносот на јавниот долг опадна, но останува значително над нивоата пред КОВИД-19. Централната банка дополнително ја заостри својата политика со оглед на сè уште зголемените инфлациски притисоци, кои почнаа постепено да се намалуваат кон крајот на 2022 година и понатаму. Дефицитот на тековната сметка значително се зголеми поради порастот на цените за увоз на енергија, но потребите од надворешно финансирање беа задоволени со помош на пазарно задолжување и задолжување </w:t>
      </w:r>
      <w:r w:rsidR="005D37D2" w:rsidRPr="00EA7926">
        <w:rPr>
          <w:rFonts w:ascii="Times New Roman" w:hAnsi="Times New Roman"/>
          <w:color w:val="000000"/>
          <w:sz w:val="24"/>
        </w:rPr>
        <w:t>од</w:t>
      </w:r>
      <w:r w:rsidRPr="00EA7926">
        <w:rPr>
          <w:rFonts w:ascii="Times New Roman" w:hAnsi="Times New Roman"/>
          <w:color w:val="000000"/>
          <w:sz w:val="24"/>
        </w:rPr>
        <w:t xml:space="preserve"> ММФ. Законот за буџети</w:t>
      </w:r>
      <w:r w:rsidR="005D37D2" w:rsidRPr="00EA7926">
        <w:rPr>
          <w:rFonts w:ascii="Times New Roman" w:hAnsi="Times New Roman"/>
          <w:color w:val="000000"/>
          <w:sz w:val="24"/>
        </w:rPr>
        <w:t>те,</w:t>
      </w:r>
      <w:r w:rsidRPr="00EA7926">
        <w:rPr>
          <w:rFonts w:ascii="Times New Roman" w:hAnsi="Times New Roman"/>
          <w:color w:val="000000"/>
          <w:sz w:val="24"/>
        </w:rPr>
        <w:t xml:space="preserve"> донесен во септември 2022 година</w:t>
      </w:r>
      <w:r w:rsidR="005D37D2" w:rsidRPr="00EA7926">
        <w:rPr>
          <w:rFonts w:ascii="Times New Roman" w:hAnsi="Times New Roman"/>
          <w:color w:val="000000"/>
          <w:sz w:val="24"/>
        </w:rPr>
        <w:t>,</w:t>
      </w:r>
      <w:r w:rsidRPr="00EA7926">
        <w:rPr>
          <w:rFonts w:ascii="Times New Roman" w:hAnsi="Times New Roman"/>
          <w:color w:val="000000"/>
          <w:sz w:val="24"/>
        </w:rPr>
        <w:t xml:space="preserve"> предвидува воведување фискални правила и фискален совет, </w:t>
      </w:r>
      <w:r w:rsidR="005D37D2" w:rsidRPr="00EA7926">
        <w:rPr>
          <w:rFonts w:ascii="Times New Roman" w:hAnsi="Times New Roman"/>
          <w:color w:val="000000"/>
          <w:sz w:val="24"/>
        </w:rPr>
        <w:t xml:space="preserve">со што се </w:t>
      </w:r>
      <w:r w:rsidRPr="00EA7926">
        <w:rPr>
          <w:rFonts w:ascii="Times New Roman" w:hAnsi="Times New Roman"/>
          <w:color w:val="000000"/>
          <w:sz w:val="24"/>
        </w:rPr>
        <w:t>зајакнува фискалната стабилност. Сепак, напредокот е бавен во спроведувањето на обемните мерки за подобрување на управувањето со јавните инвестиции, што е од витално значење за поддршка на плановите на Владата за значително зголемување на капиталните расходи. Банкарскиот сектор не беше засегнат во текот на кризите. Пазарот на труд бележи одредено подобрување, но и понатаму постојат структурни проблеми каде што се вклучени високи стапки на невработеност кај младите и долгорочна невработеност, како и голем родов јаз. Деловното опкружување и понатаму е попречено од значителната неформална економија, бавниот напредок во рационализацијата на парафискалните давачки и нетранспарентен и неефикасен режим за државна помош.</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Северна Македонија постигна одреден напредок и е умерено подготвена да се справи со </w:t>
      </w:r>
      <w:r w:rsidRPr="00EA7926">
        <w:rPr>
          <w:rFonts w:ascii="Times New Roman" w:hAnsi="Times New Roman"/>
          <w:b/>
          <w:color w:val="000000"/>
          <w:sz w:val="24"/>
        </w:rPr>
        <w:t xml:space="preserve">конкурентскиот притисок и </w:t>
      </w:r>
      <w:r w:rsidR="00A95909">
        <w:rPr>
          <w:rFonts w:ascii="Times New Roman" w:hAnsi="Times New Roman"/>
          <w:b/>
          <w:color w:val="000000"/>
          <w:sz w:val="24"/>
        </w:rPr>
        <w:t xml:space="preserve">со </w:t>
      </w:r>
      <w:r w:rsidRPr="00EA7926">
        <w:rPr>
          <w:rFonts w:ascii="Times New Roman" w:hAnsi="Times New Roman"/>
          <w:b/>
          <w:color w:val="000000"/>
          <w:sz w:val="24"/>
        </w:rPr>
        <w:t>пазарните сили</w:t>
      </w:r>
      <w:r w:rsidRPr="00EA7926">
        <w:rPr>
          <w:rFonts w:ascii="Times New Roman" w:hAnsi="Times New Roman"/>
          <w:color w:val="000000"/>
          <w:sz w:val="24"/>
        </w:rPr>
        <w:t xml:space="preserve"> во рамките на ЕУ. Интеграцијата со ЕУ во трговијата и </w:t>
      </w:r>
      <w:r w:rsidR="006F5165">
        <w:rPr>
          <w:rFonts w:ascii="Times New Roman" w:hAnsi="Times New Roman"/>
          <w:color w:val="000000"/>
          <w:sz w:val="24"/>
        </w:rPr>
        <w:t xml:space="preserve">во </w:t>
      </w:r>
      <w:r w:rsidRPr="00EA7926">
        <w:rPr>
          <w:rFonts w:ascii="Times New Roman" w:hAnsi="Times New Roman"/>
          <w:color w:val="000000"/>
          <w:sz w:val="24"/>
        </w:rPr>
        <w:t xml:space="preserve">инвестициите остана на високо ниво во 2022 година. Уделот </w:t>
      </w:r>
      <w:r w:rsidR="005D37D2" w:rsidRPr="00EA7926">
        <w:rPr>
          <w:rFonts w:ascii="Times New Roman" w:hAnsi="Times New Roman"/>
          <w:color w:val="000000"/>
          <w:sz w:val="24"/>
        </w:rPr>
        <w:t xml:space="preserve">во извозот </w:t>
      </w:r>
      <w:r w:rsidRPr="00EA7926">
        <w:rPr>
          <w:rFonts w:ascii="Times New Roman" w:hAnsi="Times New Roman"/>
          <w:color w:val="000000"/>
          <w:sz w:val="24"/>
        </w:rPr>
        <w:t xml:space="preserve">на производите со висока вредност дополнително се зголеми, а трговската отвореност се искачи на рекордно високо ниво. Постигнат е дополнителен напредок во насока на подобрување на стручното образование и обука, но останува големиот недостиг на вештини за задоволување на потребите на пазарот на труд, што повлекува долги транзиции од училиште до работно место. Сето ова, заедно со големите недостатоци во транспортната и </w:t>
      </w:r>
      <w:r w:rsidR="00B04A16">
        <w:rPr>
          <w:rFonts w:ascii="Times New Roman" w:hAnsi="Times New Roman"/>
          <w:color w:val="000000"/>
          <w:sz w:val="24"/>
        </w:rPr>
        <w:t xml:space="preserve">во </w:t>
      </w:r>
      <w:r w:rsidRPr="00EA7926">
        <w:rPr>
          <w:rFonts w:ascii="Times New Roman" w:hAnsi="Times New Roman"/>
          <w:color w:val="000000"/>
          <w:sz w:val="24"/>
        </w:rPr>
        <w:t>енергетската инфраструктура, слабите инвестиции и слабото финансирање иновации, го ограничуваат потенцијалниот раст. Дигитализацијата на економијата напредува, но конкурентноста на домашните деловни субјекти може да се подобри со поширока понуда на јавни е-услуги.</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Во однос на способноста да ги преземе обврските за членство, Северна Македонија е умерено подготвена во повеќето области опфатени со </w:t>
      </w:r>
      <w:r w:rsidRPr="00EA7926">
        <w:rPr>
          <w:rFonts w:ascii="Times New Roman" w:hAnsi="Times New Roman"/>
          <w:b/>
          <w:color w:val="000000"/>
          <w:sz w:val="24"/>
        </w:rPr>
        <w:t>кластер 2 за внатрешниот пазар</w:t>
      </w:r>
      <w:r w:rsidRPr="00EA7926">
        <w:rPr>
          <w:rFonts w:ascii="Times New Roman" w:hAnsi="Times New Roman"/>
          <w:color w:val="000000"/>
          <w:sz w:val="24"/>
        </w:rPr>
        <w:t xml:space="preserve">, имено слободното движење на стоки, услуги и капитал, интелектуалната сопственост, политиката на конкуренција, финансиските услуги и заштитата на потрошувачите и здравјето. Земјата постигна добро ниво на подготвеност во однос на правото на трговски друштва, иако сѐ уште е во рана фаза на слободата на движење за работниците. Северна Македонија постигна добар напредок во однос на слободното движење на капиталот и одреден напредок во однос на финансиските услуги и заштитата на потрошувачите и </w:t>
      </w:r>
      <w:r w:rsidR="00DA0567">
        <w:rPr>
          <w:rFonts w:ascii="Times New Roman" w:hAnsi="Times New Roman"/>
          <w:color w:val="000000"/>
          <w:sz w:val="24"/>
        </w:rPr>
        <w:t xml:space="preserve">на </w:t>
      </w:r>
      <w:r w:rsidRPr="00EA7926">
        <w:rPr>
          <w:rFonts w:ascii="Times New Roman" w:hAnsi="Times New Roman"/>
          <w:color w:val="000000"/>
          <w:sz w:val="24"/>
        </w:rPr>
        <w:t>здравјето. Постигнат е ограничен напредок во однос на слободното движење на стоки, правата на основање и слобода</w:t>
      </w:r>
      <w:r w:rsidR="0000595E">
        <w:rPr>
          <w:rFonts w:ascii="Times New Roman" w:hAnsi="Times New Roman"/>
          <w:color w:val="000000"/>
          <w:sz w:val="24"/>
        </w:rPr>
        <w:t>та</w:t>
      </w:r>
      <w:r w:rsidRPr="00EA7926">
        <w:rPr>
          <w:rFonts w:ascii="Times New Roman" w:hAnsi="Times New Roman"/>
          <w:color w:val="000000"/>
          <w:sz w:val="24"/>
        </w:rPr>
        <w:t xml:space="preserve"> на давање услуги. Не е постигнат напредок во однос на правото на трговски друштва, правото на интелектуална сопственост и политиката на конкуренција и слободното движење на работниците. </w:t>
      </w:r>
      <w:r w:rsidR="00431B18">
        <w:rPr>
          <w:rFonts w:ascii="Times New Roman" w:hAnsi="Times New Roman"/>
          <w:color w:val="000000"/>
          <w:sz w:val="24"/>
        </w:rPr>
        <w:t>Главно</w:t>
      </w:r>
      <w:r w:rsidRPr="00EA7926">
        <w:rPr>
          <w:rFonts w:ascii="Times New Roman" w:hAnsi="Times New Roman"/>
          <w:color w:val="000000"/>
          <w:sz w:val="24"/>
        </w:rPr>
        <w:t>, во наредната година е потребен поголем напредок во областите опфатени со овој кластер бидејќи тоа ќе придонесе кон подготовките на Северна Македонија за исполнување на барањата на внатрешниот пазар на ЕУ. Работата на овој кластер е многу важна за развојот на Заедничкиот регионален пазар.</w:t>
      </w:r>
    </w:p>
    <w:p w:rsidR="004B28D4" w:rsidRPr="00EA7926" w:rsidRDefault="00BC224A" w:rsidP="004B28D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rPr>
        <w:t>Главно</w:t>
      </w:r>
      <w:r w:rsidR="004B28D4" w:rsidRPr="00EA7926">
        <w:rPr>
          <w:rFonts w:ascii="Times New Roman" w:hAnsi="Times New Roman"/>
          <w:color w:val="000000"/>
          <w:sz w:val="24"/>
        </w:rPr>
        <w:t xml:space="preserve">, Северна Македонија е умерено подготвена во повеќето области опфатени со </w:t>
      </w:r>
      <w:r w:rsidR="004B28D4" w:rsidRPr="00EA7926">
        <w:rPr>
          <w:rFonts w:ascii="Times New Roman" w:hAnsi="Times New Roman"/>
          <w:b/>
          <w:color w:val="000000"/>
          <w:sz w:val="24"/>
        </w:rPr>
        <w:t>кластер 3 за конкурентност и инклузивен раст</w:t>
      </w:r>
      <w:r w:rsidR="004B28D4" w:rsidRPr="00EA7926">
        <w:rPr>
          <w:rFonts w:ascii="Times New Roman" w:hAnsi="Times New Roman"/>
          <w:color w:val="000000"/>
          <w:sz w:val="24"/>
        </w:rPr>
        <w:t xml:space="preserve">, вклучително и за дигиталната трансформација и медиумите, оданочувањето, социјалната политика и вработувањето, и претпријатијата и индустриската политика. Подготвеноста на земјата е помеѓу умерено и добро ниво во областа на економската и </w:t>
      </w:r>
      <w:r w:rsidR="001E1B36">
        <w:rPr>
          <w:rFonts w:ascii="Times New Roman" w:hAnsi="Times New Roman"/>
          <w:color w:val="000000"/>
          <w:sz w:val="24"/>
        </w:rPr>
        <w:t xml:space="preserve">на </w:t>
      </w:r>
      <w:r w:rsidR="004B28D4" w:rsidRPr="00EA7926">
        <w:rPr>
          <w:rFonts w:ascii="Times New Roman" w:hAnsi="Times New Roman"/>
          <w:color w:val="000000"/>
          <w:sz w:val="24"/>
        </w:rPr>
        <w:t>монетарната политика. Има добро ниво на подготвеност во областите на науката и истражувањето и царинската унија. Постигнат е одреден напредок во однос на оданочувањето, економската и монетарната политика, претпријатијата и индустриската политика, политиката за наука и истражување, социјалната политика и вработувањ</w:t>
      </w:r>
      <w:r w:rsidR="00D971C4" w:rsidRPr="00EA7926">
        <w:rPr>
          <w:rFonts w:ascii="Times New Roman" w:hAnsi="Times New Roman"/>
          <w:color w:val="000000"/>
          <w:sz w:val="24"/>
        </w:rPr>
        <w:t>ата</w:t>
      </w:r>
      <w:r w:rsidR="004B28D4" w:rsidRPr="00EA7926">
        <w:rPr>
          <w:rFonts w:ascii="Times New Roman" w:hAnsi="Times New Roman"/>
          <w:color w:val="000000"/>
          <w:sz w:val="24"/>
        </w:rPr>
        <w:t xml:space="preserve">. Сепак, потребни се повеќе напори, особено во областите каде што е постигнат ограничен напредок, </w:t>
      </w:r>
      <w:r w:rsidR="00061FDE">
        <w:rPr>
          <w:rFonts w:ascii="Times New Roman" w:hAnsi="Times New Roman"/>
          <w:color w:val="000000"/>
          <w:sz w:val="24"/>
        </w:rPr>
        <w:t>какви</w:t>
      </w:r>
      <w:r w:rsidR="004B28D4" w:rsidRPr="00EA7926">
        <w:rPr>
          <w:rFonts w:ascii="Times New Roman" w:hAnsi="Times New Roman"/>
          <w:color w:val="000000"/>
          <w:sz w:val="24"/>
        </w:rPr>
        <w:t xml:space="preserve"> што се дигиталната трансформација и медиумите, царинската унија и образованието и културата.</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Во однос на </w:t>
      </w:r>
      <w:r w:rsidRPr="00EA7926">
        <w:rPr>
          <w:rFonts w:ascii="Times New Roman" w:hAnsi="Times New Roman"/>
          <w:b/>
          <w:color w:val="000000"/>
          <w:sz w:val="24"/>
        </w:rPr>
        <w:t>кластер 4 за Зелена агенда и одржлива поврзаност</w:t>
      </w:r>
      <w:r w:rsidRPr="00EA7926">
        <w:rPr>
          <w:rFonts w:ascii="Times New Roman" w:hAnsi="Times New Roman"/>
          <w:color w:val="000000"/>
          <w:sz w:val="24"/>
        </w:rPr>
        <w:t xml:space="preserve">, Северна Македонија има добро ниво на подготвеност во трансевропските мрежи и одредено ниво на подготвеност во однос на животната средина и климатските промени. Земјата е умерено подготвена во однос на транспортната и </w:t>
      </w:r>
      <w:r w:rsidR="00D90D9B">
        <w:rPr>
          <w:rFonts w:ascii="Times New Roman" w:hAnsi="Times New Roman"/>
          <w:color w:val="000000"/>
          <w:sz w:val="24"/>
        </w:rPr>
        <w:t xml:space="preserve">на </w:t>
      </w:r>
      <w:r w:rsidRPr="00EA7926">
        <w:rPr>
          <w:rFonts w:ascii="Times New Roman" w:hAnsi="Times New Roman"/>
          <w:color w:val="000000"/>
          <w:sz w:val="24"/>
        </w:rPr>
        <w:t xml:space="preserve">енергетската политика со одреден напредок во енергетиката, особено во однос на регионалните гасни интерконекции и обновливите извори на енергија. Потребни се значителни напори во областите каде што е постигнат ограничен напредок, </w:t>
      </w:r>
      <w:r w:rsidR="00F65567">
        <w:rPr>
          <w:rFonts w:ascii="Times New Roman" w:hAnsi="Times New Roman"/>
          <w:color w:val="000000"/>
          <w:sz w:val="24"/>
        </w:rPr>
        <w:t>какви</w:t>
      </w:r>
      <w:r w:rsidRPr="00EA7926">
        <w:rPr>
          <w:rFonts w:ascii="Times New Roman" w:hAnsi="Times New Roman"/>
          <w:color w:val="000000"/>
          <w:sz w:val="24"/>
        </w:rPr>
        <w:t xml:space="preserve"> што се транспортот, трансевропските мрежи и заштитата на животната средина. Во претстојниот период земјата треба да го забрза спроведувањето на </w:t>
      </w:r>
      <w:r w:rsidR="00E85515">
        <w:rPr>
          <w:rFonts w:ascii="Times New Roman" w:hAnsi="Times New Roman"/>
          <w:color w:val="000000"/>
          <w:sz w:val="24"/>
        </w:rPr>
        <w:t>Економскиот</w:t>
      </w:r>
      <w:r w:rsidRPr="00EA7926">
        <w:rPr>
          <w:rFonts w:ascii="Times New Roman" w:hAnsi="Times New Roman"/>
          <w:color w:val="000000"/>
          <w:sz w:val="24"/>
        </w:rPr>
        <w:t xml:space="preserve"> и инвестициски план и на Зелената агенда за земјите од Западен Балкан.</w:t>
      </w:r>
      <w:r w:rsidRPr="00EA7926">
        <w:rPr>
          <w:rStyle w:val="FootnoteReference"/>
          <w:rFonts w:ascii="Times New Roman" w:hAnsi="Times New Roman"/>
          <w:color w:val="000000"/>
          <w:sz w:val="24"/>
          <w:szCs w:val="24"/>
        </w:rPr>
        <w:footnoteReference w:id="2"/>
      </w:r>
      <w:r w:rsidRPr="00EA7926">
        <w:rPr>
          <w:rFonts w:ascii="Times New Roman" w:hAnsi="Times New Roman"/>
          <w:color w:val="000000"/>
          <w:sz w:val="24"/>
        </w:rPr>
        <w:t>.</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Северна Македонија е умерено подготвена во повеќето области на </w:t>
      </w:r>
      <w:r w:rsidRPr="00EA7926">
        <w:rPr>
          <w:rFonts w:ascii="Times New Roman" w:hAnsi="Times New Roman"/>
          <w:b/>
          <w:color w:val="000000"/>
          <w:sz w:val="24"/>
        </w:rPr>
        <w:t>кластер 5 за ресурси, земјоделство и кохезија</w:t>
      </w:r>
      <w:r w:rsidRPr="00EA7926">
        <w:rPr>
          <w:rFonts w:ascii="Times New Roman" w:hAnsi="Times New Roman"/>
          <w:color w:val="000000"/>
          <w:sz w:val="24"/>
        </w:rPr>
        <w:t xml:space="preserve">. Има добро ниво на подготвеност во областа на безбедноста на храната, ветеринарството и фитосанитарната политика и е во рана фаза на подготвеност во финансиските и </w:t>
      </w:r>
      <w:r w:rsidR="00CA4698">
        <w:rPr>
          <w:rFonts w:ascii="Times New Roman" w:hAnsi="Times New Roman"/>
          <w:color w:val="000000"/>
          <w:sz w:val="24"/>
        </w:rPr>
        <w:t xml:space="preserve">во </w:t>
      </w:r>
      <w:r w:rsidRPr="00EA7926">
        <w:rPr>
          <w:rFonts w:ascii="Times New Roman" w:hAnsi="Times New Roman"/>
          <w:color w:val="000000"/>
          <w:sz w:val="24"/>
        </w:rPr>
        <w:t xml:space="preserve">буџетските одредби. За време на извештајниот период, беше постигнат одреден напредок во земјоделскиот и </w:t>
      </w:r>
      <w:r w:rsidR="008B635C">
        <w:rPr>
          <w:rFonts w:ascii="Times New Roman" w:hAnsi="Times New Roman"/>
          <w:color w:val="000000"/>
          <w:sz w:val="24"/>
        </w:rPr>
        <w:t xml:space="preserve">во </w:t>
      </w:r>
      <w:r w:rsidRPr="00EA7926">
        <w:rPr>
          <w:rFonts w:ascii="Times New Roman" w:hAnsi="Times New Roman"/>
          <w:color w:val="000000"/>
          <w:sz w:val="24"/>
        </w:rPr>
        <w:t xml:space="preserve">руралниот развој, </w:t>
      </w:r>
      <w:r w:rsidR="003052A4">
        <w:rPr>
          <w:rFonts w:ascii="Times New Roman" w:hAnsi="Times New Roman"/>
          <w:color w:val="000000"/>
          <w:sz w:val="24"/>
        </w:rPr>
        <w:t xml:space="preserve">во </w:t>
      </w:r>
      <w:r w:rsidRPr="00EA7926">
        <w:rPr>
          <w:rFonts w:ascii="Times New Roman" w:hAnsi="Times New Roman"/>
          <w:color w:val="000000"/>
          <w:sz w:val="24"/>
        </w:rPr>
        <w:t xml:space="preserve">рибарството и безбедноста на храна, </w:t>
      </w:r>
      <w:r w:rsidR="003052A4">
        <w:rPr>
          <w:rFonts w:ascii="Times New Roman" w:hAnsi="Times New Roman"/>
          <w:color w:val="000000"/>
          <w:sz w:val="24"/>
        </w:rPr>
        <w:t xml:space="preserve">во </w:t>
      </w:r>
      <w:r w:rsidRPr="00EA7926">
        <w:rPr>
          <w:rFonts w:ascii="Times New Roman" w:hAnsi="Times New Roman"/>
          <w:color w:val="000000"/>
          <w:sz w:val="24"/>
        </w:rPr>
        <w:t xml:space="preserve">ветеринарната и фитосанитарната политика. Сепак, потребни се дополнителни напори, особено во областите каде </w:t>
      </w:r>
      <w:r w:rsidR="00BE5770">
        <w:rPr>
          <w:rFonts w:ascii="Times New Roman" w:hAnsi="Times New Roman"/>
          <w:color w:val="000000"/>
          <w:sz w:val="24"/>
        </w:rPr>
        <w:t xml:space="preserve">што </w:t>
      </w:r>
      <w:r w:rsidRPr="00EA7926">
        <w:rPr>
          <w:rFonts w:ascii="Times New Roman" w:hAnsi="Times New Roman"/>
          <w:color w:val="000000"/>
          <w:sz w:val="24"/>
        </w:rPr>
        <w:t xml:space="preserve">има ограничен напредок или нема напредок </w:t>
      </w:r>
      <w:r w:rsidR="00BD7DD5">
        <w:rPr>
          <w:rFonts w:ascii="Times New Roman" w:hAnsi="Times New Roman"/>
          <w:color w:val="000000"/>
          <w:sz w:val="24"/>
        </w:rPr>
        <w:t>какви</w:t>
      </w:r>
      <w:r w:rsidRPr="00EA7926">
        <w:rPr>
          <w:rFonts w:ascii="Times New Roman" w:hAnsi="Times New Roman"/>
          <w:color w:val="000000"/>
          <w:sz w:val="24"/>
        </w:rPr>
        <w:t xml:space="preserve"> што се регионалната политика и координацијата на структурните инструменти, како и во финансиските и </w:t>
      </w:r>
      <w:r w:rsidR="00A665F6">
        <w:rPr>
          <w:rFonts w:ascii="Times New Roman" w:hAnsi="Times New Roman"/>
          <w:color w:val="000000"/>
          <w:sz w:val="24"/>
        </w:rPr>
        <w:t xml:space="preserve">во </w:t>
      </w:r>
      <w:r w:rsidRPr="00EA7926">
        <w:rPr>
          <w:rFonts w:ascii="Times New Roman" w:hAnsi="Times New Roman"/>
          <w:color w:val="000000"/>
          <w:sz w:val="24"/>
        </w:rPr>
        <w:t>буџетските одредби.</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Во однос на </w:t>
      </w:r>
      <w:r w:rsidRPr="00EA7926">
        <w:rPr>
          <w:rFonts w:ascii="Times New Roman" w:hAnsi="Times New Roman"/>
          <w:b/>
          <w:color w:val="000000"/>
          <w:sz w:val="24"/>
        </w:rPr>
        <w:t>кластер 6 за надворешни односи</w:t>
      </w:r>
      <w:r w:rsidRPr="00EA7926">
        <w:rPr>
          <w:rFonts w:ascii="Times New Roman" w:hAnsi="Times New Roman"/>
          <w:color w:val="000000"/>
          <w:sz w:val="24"/>
        </w:rPr>
        <w:t>, Северна Македонија е умерено подготвена во областа на надворешни односи и постигна добро ниво на подготвеност во однос на заедничката надворешна и безбедносна политика. Во текот на извештајниот период земјата постигна одреден напредок во однос на заедничката трговска политика. Таа постигна добар напредок со одржување целосна усогласеност со заедничката надворешна и безбедносна политика на ЕУ. На тој начин, Северна Македонија се покажа како сигурен партнер, вклучително и на меѓународно ниво.</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Во однос на </w:t>
      </w:r>
      <w:r w:rsidRPr="00EA7926">
        <w:rPr>
          <w:rFonts w:ascii="Times New Roman" w:hAnsi="Times New Roman"/>
          <w:b/>
          <w:color w:val="000000"/>
          <w:sz w:val="24"/>
        </w:rPr>
        <w:t>регионалната соработка</w:t>
      </w:r>
      <w:r w:rsidRPr="00EA7926">
        <w:rPr>
          <w:rFonts w:ascii="Times New Roman" w:hAnsi="Times New Roman"/>
          <w:color w:val="000000"/>
          <w:sz w:val="24"/>
        </w:rPr>
        <w:t xml:space="preserve">, земјата одржува добри односи со другите земји </w:t>
      </w:r>
      <w:r w:rsidR="00DB3C3D" w:rsidRPr="00EA7926">
        <w:rPr>
          <w:rFonts w:ascii="Times New Roman" w:hAnsi="Times New Roman"/>
          <w:color w:val="000000"/>
          <w:sz w:val="24"/>
        </w:rPr>
        <w:t>што се дел од процесот на проширување</w:t>
      </w:r>
      <w:r w:rsidRPr="00EA7926">
        <w:rPr>
          <w:rFonts w:ascii="Times New Roman" w:hAnsi="Times New Roman"/>
          <w:color w:val="000000"/>
          <w:sz w:val="24"/>
        </w:rPr>
        <w:t xml:space="preserve"> и го продолжи своето активно учество во регионалните иницијативи. Постојните билатерални договори треба да се спроведуваат со добра волја од сите страни, вклучително и Преспанскиот договор меѓу Северна Македонија и Грција и Договорот за пријателство, добрососедство и соработка со Бугарија, вклучително и нивните протоколи.</w:t>
      </w:r>
    </w:p>
    <w:p w:rsidR="004B28D4" w:rsidRPr="00EA7926" w:rsidRDefault="004B28D4" w:rsidP="004B28D4">
      <w:pPr>
        <w:pStyle w:val="Heading2"/>
      </w:pPr>
      <w:bookmarkStart w:id="8" w:name="bookmark4"/>
      <w:bookmarkStart w:id="9" w:name="_Toc150864243"/>
      <w:r w:rsidRPr="00EA7926">
        <w:t>1</w:t>
      </w:r>
      <w:bookmarkEnd w:id="8"/>
      <w:r w:rsidRPr="00EA7926">
        <w:t>.3.</w:t>
      </w:r>
      <w:r w:rsidRPr="00EA7926">
        <w:tab/>
        <w:t>Актуелна состојба со пристапните преговори</w:t>
      </w:r>
      <w:bookmarkEnd w:id="9"/>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По политичката </w:t>
      </w:r>
      <w:r w:rsidR="00F469AE">
        <w:rPr>
          <w:rFonts w:ascii="Times New Roman" w:hAnsi="Times New Roman"/>
          <w:color w:val="000000"/>
          <w:sz w:val="24"/>
        </w:rPr>
        <w:t>М</w:t>
      </w:r>
      <w:r w:rsidRPr="00EA7926">
        <w:rPr>
          <w:rFonts w:ascii="Times New Roman" w:hAnsi="Times New Roman"/>
          <w:color w:val="000000"/>
          <w:sz w:val="24"/>
        </w:rPr>
        <w:t xml:space="preserve">еѓувладина конференција за пристапните преговори со Северна Македонија што се одржа на 19 јули 2022 година, Комисијата веднаш го започна </w:t>
      </w:r>
      <w:r w:rsidRPr="00EA7926">
        <w:rPr>
          <w:rFonts w:ascii="Times New Roman" w:hAnsi="Times New Roman"/>
          <w:b/>
          <w:bCs/>
          <w:color w:val="000000"/>
          <w:sz w:val="24"/>
        </w:rPr>
        <w:t>скрининг</w:t>
      </w:r>
      <w:r w:rsidR="00EB5FEE">
        <w:rPr>
          <w:rFonts w:ascii="Times New Roman" w:hAnsi="Times New Roman"/>
          <w:color w:val="000000"/>
          <w:sz w:val="24"/>
        </w:rPr>
        <w:t>-</w:t>
      </w:r>
      <w:r w:rsidRPr="00EA7926">
        <w:rPr>
          <w:rFonts w:ascii="Times New Roman" w:hAnsi="Times New Roman"/>
          <w:color w:val="000000"/>
          <w:sz w:val="24"/>
        </w:rPr>
        <w:t xml:space="preserve">процесот </w:t>
      </w:r>
      <w:r w:rsidR="00A63B2E">
        <w:rPr>
          <w:rFonts w:ascii="Times New Roman" w:hAnsi="Times New Roman"/>
          <w:color w:val="000000"/>
          <w:sz w:val="24"/>
        </w:rPr>
        <w:t>што</w:t>
      </w:r>
      <w:r w:rsidRPr="00EA7926">
        <w:rPr>
          <w:rFonts w:ascii="Times New Roman" w:hAnsi="Times New Roman"/>
          <w:color w:val="000000"/>
          <w:sz w:val="24"/>
        </w:rPr>
        <w:t xml:space="preserve"> </w:t>
      </w:r>
      <w:r w:rsidR="00E7011F" w:rsidRPr="00EA7926">
        <w:rPr>
          <w:rFonts w:ascii="Times New Roman" w:hAnsi="Times New Roman"/>
          <w:color w:val="000000"/>
          <w:sz w:val="24"/>
        </w:rPr>
        <w:t xml:space="preserve">беспрекорно </w:t>
      </w:r>
      <w:r w:rsidRPr="00EA7926">
        <w:rPr>
          <w:rFonts w:ascii="Times New Roman" w:hAnsi="Times New Roman"/>
          <w:color w:val="000000"/>
          <w:sz w:val="24"/>
        </w:rPr>
        <w:t>напредува. Се одржаа сите сесии за кластер 1 (Фундаментални вредности) и кластер 2 (Внатрешен пазар), кластер 3 (Конкурентност и инклузивен раст) и кластер 4 (Зелена агенда и одржлива поврзаност</w:t>
      </w:r>
      <w:r w:rsidR="00E7011F" w:rsidRPr="00EA7926">
        <w:rPr>
          <w:rFonts w:ascii="Times New Roman" w:hAnsi="Times New Roman"/>
          <w:color w:val="000000"/>
          <w:sz w:val="24"/>
        </w:rPr>
        <w:t>)</w:t>
      </w:r>
      <w:r w:rsidRPr="00EA7926">
        <w:rPr>
          <w:rFonts w:ascii="Times New Roman" w:hAnsi="Times New Roman"/>
          <w:color w:val="000000"/>
          <w:sz w:val="24"/>
        </w:rPr>
        <w:t xml:space="preserve">. Објаснувачките сесии за кластер 5 (Ресурси, земјоделство и кохезија) и кластер 6 (Надворешни односи) се завршени и во тек се билатерални состаноци во врска со </w:t>
      </w:r>
      <w:r w:rsidR="00EB5FEE">
        <w:rPr>
          <w:rFonts w:ascii="Times New Roman" w:hAnsi="Times New Roman"/>
          <w:color w:val="000000"/>
          <w:sz w:val="24"/>
        </w:rPr>
        <w:t>нив</w:t>
      </w:r>
      <w:r w:rsidRPr="00EA7926">
        <w:rPr>
          <w:rFonts w:ascii="Times New Roman" w:hAnsi="Times New Roman"/>
          <w:color w:val="000000"/>
          <w:sz w:val="24"/>
        </w:rPr>
        <w:t>. Преостанатите состаноци за скрининг се закажани до декември 2023 година.</w:t>
      </w:r>
      <w:r w:rsidR="00E7011F" w:rsidRPr="00EA7926">
        <w:rPr>
          <w:rFonts w:ascii="Times New Roman" w:hAnsi="Times New Roman"/>
          <w:color w:val="000000"/>
          <w:sz w:val="24"/>
        </w:rPr>
        <w:t xml:space="preserve"> </w:t>
      </w:r>
    </w:p>
    <w:p w:rsidR="004B28D4" w:rsidRPr="00EA7926" w:rsidRDefault="004B28D4" w:rsidP="004B28D4">
      <w:pPr>
        <w:pStyle w:val="Heading1"/>
      </w:pPr>
      <w:bookmarkStart w:id="10" w:name="bookmark5"/>
      <w:bookmarkStart w:id="11" w:name="_Toc150864244"/>
      <w:r w:rsidRPr="00EA7926">
        <w:t>2</w:t>
      </w:r>
      <w:bookmarkEnd w:id="10"/>
      <w:r w:rsidRPr="00EA7926">
        <w:t>.</w:t>
      </w:r>
      <w:r w:rsidRPr="00EA7926">
        <w:tab/>
        <w:t>КЛАСТЕР 1: ФУНДАМЕНТАЛНИ ВРЕДНОСТИ НА ПРИСТАПНИОТ ПРОЦЕС</w:t>
      </w:r>
      <w:bookmarkEnd w:id="11"/>
    </w:p>
    <w:p w:rsidR="004B28D4" w:rsidRPr="00EA7926" w:rsidRDefault="004B28D4" w:rsidP="004B28D4">
      <w:pPr>
        <w:pStyle w:val="Heading2"/>
      </w:pPr>
      <w:bookmarkStart w:id="12" w:name="bookmark6"/>
      <w:bookmarkStart w:id="13" w:name="_Toc150864245"/>
      <w:r w:rsidRPr="00EA7926">
        <w:t>2</w:t>
      </w:r>
      <w:bookmarkEnd w:id="12"/>
      <w:r w:rsidRPr="00EA7926">
        <w:t>.1.</w:t>
      </w:r>
      <w:r w:rsidRPr="00EA7926">
        <w:tab/>
        <w:t>Функционирање на демократските институции и реформата на јавната администрација</w:t>
      </w:r>
      <w:bookmarkEnd w:id="13"/>
    </w:p>
    <w:p w:rsidR="004B28D4" w:rsidRPr="00EA7926" w:rsidRDefault="004B28D4" w:rsidP="004B28D4">
      <w:pPr>
        <w:pStyle w:val="Heading2"/>
      </w:pPr>
      <w:bookmarkStart w:id="14" w:name="bookmark7"/>
      <w:bookmarkStart w:id="15" w:name="_Toc150864246"/>
      <w:r w:rsidRPr="00EA7926">
        <w:t>2</w:t>
      </w:r>
      <w:bookmarkEnd w:id="14"/>
      <w:r w:rsidRPr="00EA7926">
        <w:t>.1.1.</w:t>
      </w:r>
      <w:r w:rsidRPr="00EA7926">
        <w:tab/>
        <w:t>Демократија</w:t>
      </w:r>
      <w:bookmarkEnd w:id="15"/>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Политичката состојба </w:t>
      </w:r>
      <w:r w:rsidR="004D4146" w:rsidRPr="00EA7926">
        <w:rPr>
          <w:rFonts w:ascii="Times New Roman" w:hAnsi="Times New Roman"/>
          <w:color w:val="000000"/>
          <w:sz w:val="24"/>
        </w:rPr>
        <w:t xml:space="preserve">и понатаму е </w:t>
      </w:r>
      <w:r w:rsidRPr="00EA7926">
        <w:rPr>
          <w:rFonts w:ascii="Times New Roman" w:hAnsi="Times New Roman"/>
          <w:color w:val="000000"/>
          <w:sz w:val="24"/>
        </w:rPr>
        <w:t>поларизирана, што влијае врз соодветното функционирање на демократските институции.</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b/>
          <w:color w:val="000000"/>
          <w:sz w:val="24"/>
        </w:rPr>
        <w:t>Избори</w:t>
      </w:r>
    </w:p>
    <w:p w:rsidR="004B28D4" w:rsidRPr="00EA7926" w:rsidRDefault="00D07A7F" w:rsidP="004B28D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Pr>
          <w:rFonts w:ascii="Times New Roman" w:hAnsi="Times New Roman"/>
          <w:color w:val="000000"/>
          <w:sz w:val="24"/>
        </w:rPr>
        <w:t>Главно</w:t>
      </w:r>
      <w:r w:rsidR="004B28D4" w:rsidRPr="00EA7926">
        <w:rPr>
          <w:rFonts w:ascii="Times New Roman" w:hAnsi="Times New Roman"/>
          <w:color w:val="000000"/>
          <w:sz w:val="24"/>
        </w:rPr>
        <w:t xml:space="preserve">, правната рамка </w:t>
      </w:r>
      <w:r w:rsidR="004A1128">
        <w:rPr>
          <w:rFonts w:ascii="Times New Roman" w:hAnsi="Times New Roman"/>
          <w:color w:val="000000"/>
          <w:sz w:val="24"/>
        </w:rPr>
        <w:t>с</w:t>
      </w:r>
      <w:r w:rsidR="004A1128" w:rsidRPr="00432FA3">
        <w:rPr>
          <w:rFonts w:ascii="Times New Roman" w:hAnsi="Times New Roman"/>
          <w:color w:val="000000"/>
          <w:sz w:val="24"/>
          <w:lang w:val="ru-RU"/>
        </w:rPr>
        <w:t>è</w:t>
      </w:r>
      <w:r w:rsidR="004A1128">
        <w:rPr>
          <w:rFonts w:ascii="Times New Roman" w:hAnsi="Times New Roman"/>
          <w:color w:val="000000"/>
          <w:sz w:val="24"/>
        </w:rPr>
        <w:t xml:space="preserve"> </w:t>
      </w:r>
      <w:r w:rsidR="000723CD" w:rsidRPr="00EA7926">
        <w:rPr>
          <w:rFonts w:ascii="Times New Roman" w:hAnsi="Times New Roman"/>
          <w:color w:val="000000"/>
          <w:sz w:val="24"/>
        </w:rPr>
        <w:t xml:space="preserve">уште е </w:t>
      </w:r>
      <w:r w:rsidR="004B28D4" w:rsidRPr="00EA7926">
        <w:rPr>
          <w:rFonts w:ascii="Times New Roman" w:hAnsi="Times New Roman"/>
          <w:color w:val="000000"/>
          <w:sz w:val="24"/>
        </w:rPr>
        <w:t xml:space="preserve">погодна за одржување демократски избори во Северна Македонија. Сепак, во извештајниот период не е постигнат напредок во однос на </w:t>
      </w:r>
      <w:r w:rsidR="004B28D4" w:rsidRPr="00432FA3">
        <w:rPr>
          <w:rFonts w:ascii="Times New Roman" w:hAnsi="Times New Roman"/>
          <w:color w:val="000000"/>
          <w:sz w:val="24"/>
        </w:rPr>
        <w:t>постапувањето по и спроведувањето</w:t>
      </w:r>
      <w:r w:rsidR="004B28D4" w:rsidRPr="00EA7926">
        <w:rPr>
          <w:rFonts w:ascii="Times New Roman" w:hAnsi="Times New Roman"/>
          <w:color w:val="000000"/>
          <w:sz w:val="24"/>
        </w:rPr>
        <w:t xml:space="preserve"> на преостанатите препораки од Канцеларијата на ОБСЕ за демократски институции и човекови права (ОДИХР) и </w:t>
      </w:r>
      <w:r w:rsidR="0078123B">
        <w:rPr>
          <w:rFonts w:ascii="Times New Roman" w:hAnsi="Times New Roman"/>
          <w:color w:val="000000"/>
          <w:sz w:val="24"/>
        </w:rPr>
        <w:t xml:space="preserve">од </w:t>
      </w:r>
      <w:r w:rsidR="004B28D4" w:rsidRPr="00EA7926">
        <w:rPr>
          <w:rFonts w:ascii="Times New Roman" w:hAnsi="Times New Roman"/>
          <w:color w:val="000000"/>
          <w:sz w:val="24"/>
        </w:rPr>
        <w:t>Венецијанската комисија. Како што постојано беше посочувано во претходните извештаи, изборното законодавство треба сеопфатно да се прегледа за да се надминат недоследностите на навремен, инклузивен и транспарентен начин.</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Во август 2022 година се одржаа </w:t>
      </w:r>
      <w:r w:rsidRPr="00EA7926">
        <w:rPr>
          <w:rFonts w:ascii="Times New Roman" w:hAnsi="Times New Roman"/>
          <w:b/>
          <w:bCs/>
          <w:color w:val="000000"/>
          <w:sz w:val="24"/>
        </w:rPr>
        <w:t>локални избори</w:t>
      </w:r>
      <w:r w:rsidRPr="00EA7926">
        <w:rPr>
          <w:rFonts w:ascii="Times New Roman" w:hAnsi="Times New Roman"/>
          <w:color w:val="000000"/>
          <w:sz w:val="24"/>
        </w:rPr>
        <w:t xml:space="preserve"> за </w:t>
      </w:r>
      <w:r w:rsidR="00E83CD1">
        <w:rPr>
          <w:rFonts w:ascii="Times New Roman" w:hAnsi="Times New Roman"/>
          <w:color w:val="000000"/>
          <w:sz w:val="24"/>
        </w:rPr>
        <w:t>С</w:t>
      </w:r>
      <w:r w:rsidRPr="00EA7926">
        <w:rPr>
          <w:rFonts w:ascii="Times New Roman" w:hAnsi="Times New Roman"/>
          <w:color w:val="000000"/>
          <w:sz w:val="24"/>
        </w:rPr>
        <w:t xml:space="preserve">оветот на </w:t>
      </w:r>
      <w:r w:rsidR="00E83CD1">
        <w:rPr>
          <w:rFonts w:ascii="Times New Roman" w:hAnsi="Times New Roman"/>
          <w:color w:val="000000"/>
          <w:sz w:val="24"/>
        </w:rPr>
        <w:t>О</w:t>
      </w:r>
      <w:r w:rsidRPr="00EA7926">
        <w:rPr>
          <w:rFonts w:ascii="Times New Roman" w:hAnsi="Times New Roman"/>
          <w:color w:val="000000"/>
          <w:sz w:val="24"/>
        </w:rPr>
        <w:t xml:space="preserve">пштина Тетово и избори за градоначалник во Центар Жупа и Маврово-Ростуше. Изборите </w:t>
      </w:r>
      <w:r w:rsidR="00057AB7" w:rsidRPr="00EA7926">
        <w:rPr>
          <w:rFonts w:ascii="Times New Roman" w:hAnsi="Times New Roman"/>
          <w:color w:val="000000"/>
          <w:sz w:val="24"/>
        </w:rPr>
        <w:t xml:space="preserve">се </w:t>
      </w:r>
      <w:r w:rsidRPr="00EA7926">
        <w:rPr>
          <w:rFonts w:ascii="Times New Roman" w:hAnsi="Times New Roman"/>
          <w:color w:val="000000"/>
          <w:sz w:val="24"/>
        </w:rPr>
        <w:t>уредно спроведени.</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Во однос на законската рамка, не е постигнат напредок во </w:t>
      </w:r>
      <w:r w:rsidRPr="00432FA3">
        <w:rPr>
          <w:rFonts w:ascii="Times New Roman" w:hAnsi="Times New Roman"/>
          <w:color w:val="000000"/>
          <w:sz w:val="24"/>
        </w:rPr>
        <w:t xml:space="preserve">постапувањето по или спроведувањето </w:t>
      </w:r>
      <w:r w:rsidRPr="00EA7926">
        <w:rPr>
          <w:rFonts w:ascii="Times New Roman" w:hAnsi="Times New Roman"/>
          <w:color w:val="000000"/>
          <w:sz w:val="24"/>
        </w:rPr>
        <w:t>на преостанатите препораки на ОБСЕ/ОДИХР.</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Во април 2023 година Министерството за правда воспостави работна група за изборни реформи</w:t>
      </w:r>
      <w:r w:rsidR="00686158">
        <w:rPr>
          <w:rFonts w:ascii="Times New Roman" w:hAnsi="Times New Roman"/>
          <w:color w:val="000000"/>
          <w:sz w:val="24"/>
        </w:rPr>
        <w:t>,</w:t>
      </w:r>
      <w:r w:rsidRPr="00EA7926">
        <w:rPr>
          <w:rFonts w:ascii="Times New Roman" w:hAnsi="Times New Roman"/>
          <w:color w:val="000000"/>
          <w:sz w:val="24"/>
        </w:rPr>
        <w:t xml:space="preserve"> која има задача да ги спроведе преостанатите препораки на ОБСЕ/ОДИХР и во идеален случај, да направи нацрт за новиот Изборен законик. Главната опозициска партија реши да не учествува официјално во работната група. Работната група допрва треба да </w:t>
      </w:r>
      <w:r w:rsidR="00A77D6A" w:rsidRPr="00EA7926">
        <w:rPr>
          <w:rFonts w:ascii="Times New Roman" w:hAnsi="Times New Roman"/>
          <w:color w:val="000000"/>
          <w:sz w:val="24"/>
        </w:rPr>
        <w:t>оствари значајни резултати</w:t>
      </w:r>
      <w:r w:rsidRPr="00EA7926">
        <w:rPr>
          <w:rFonts w:ascii="Times New Roman" w:hAnsi="Times New Roman"/>
          <w:color w:val="000000"/>
          <w:sz w:val="24"/>
        </w:rPr>
        <w:t xml:space="preserve">. Потребен е сеопфатен преглед на законодавството </w:t>
      </w:r>
      <w:r w:rsidR="00A77D6A" w:rsidRPr="00EA7926">
        <w:rPr>
          <w:rFonts w:ascii="Times New Roman" w:hAnsi="Times New Roman"/>
          <w:color w:val="000000"/>
          <w:sz w:val="24"/>
        </w:rPr>
        <w:t>з</w:t>
      </w:r>
      <w:r w:rsidRPr="00EA7926">
        <w:rPr>
          <w:rFonts w:ascii="Times New Roman" w:hAnsi="Times New Roman"/>
          <w:color w:val="000000"/>
          <w:sz w:val="24"/>
        </w:rPr>
        <w:t xml:space="preserve">а изборниот процес за да се отстранат постојните недоследности и да се зајакне системот со европските и </w:t>
      </w:r>
      <w:r w:rsidR="00686158">
        <w:rPr>
          <w:rFonts w:ascii="Times New Roman" w:hAnsi="Times New Roman"/>
          <w:color w:val="000000"/>
          <w:sz w:val="24"/>
        </w:rPr>
        <w:t xml:space="preserve">со </w:t>
      </w:r>
      <w:r w:rsidRPr="00EA7926">
        <w:rPr>
          <w:rFonts w:ascii="Times New Roman" w:hAnsi="Times New Roman"/>
          <w:color w:val="000000"/>
          <w:sz w:val="24"/>
        </w:rPr>
        <w:t xml:space="preserve">меѓународните стандарди. Широк консултативен процес треба да ја поддржи оваа реформа. Точноста на </w:t>
      </w:r>
      <w:r w:rsidR="00686158">
        <w:rPr>
          <w:rFonts w:ascii="Times New Roman" w:hAnsi="Times New Roman"/>
          <w:color w:val="000000"/>
          <w:sz w:val="24"/>
        </w:rPr>
        <w:t>И</w:t>
      </w:r>
      <w:r w:rsidRPr="00EA7926">
        <w:rPr>
          <w:rFonts w:ascii="Times New Roman" w:hAnsi="Times New Roman"/>
          <w:color w:val="000000"/>
          <w:sz w:val="24"/>
        </w:rPr>
        <w:t>збирачкиот список треба да продолжи да се подобрува преку систематски проверки, прегледи и ажурирања на податоците.</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Пред следните избори, </w:t>
      </w:r>
      <w:r w:rsidR="00287E9F">
        <w:rPr>
          <w:rFonts w:ascii="Times New Roman" w:hAnsi="Times New Roman"/>
          <w:color w:val="000000"/>
          <w:sz w:val="24"/>
        </w:rPr>
        <w:t xml:space="preserve">на </w:t>
      </w:r>
      <w:r w:rsidRPr="00EA7926">
        <w:rPr>
          <w:rFonts w:ascii="Times New Roman" w:hAnsi="Times New Roman"/>
          <w:color w:val="000000"/>
          <w:sz w:val="24"/>
        </w:rPr>
        <w:t xml:space="preserve">Државната изборна комисија треба навремено да </w:t>
      </w:r>
      <w:r w:rsidR="00287E9F">
        <w:rPr>
          <w:rFonts w:ascii="Times New Roman" w:hAnsi="Times New Roman"/>
          <w:color w:val="000000"/>
          <w:sz w:val="24"/>
        </w:rPr>
        <w:t>се доделат</w:t>
      </w:r>
      <w:r w:rsidRPr="00EA7926">
        <w:rPr>
          <w:rFonts w:ascii="Times New Roman" w:hAnsi="Times New Roman"/>
          <w:color w:val="000000"/>
          <w:sz w:val="24"/>
        </w:rPr>
        <w:t xml:space="preserve"> потребните ресурси за ефикасно и независно спроведување на својот мандат.</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b/>
          <w:color w:val="000000"/>
          <w:sz w:val="24"/>
        </w:rPr>
        <w:t>Собрание</w:t>
      </w:r>
    </w:p>
    <w:p w:rsidR="004B28D4" w:rsidRPr="00EA7926" w:rsidRDefault="004B28D4" w:rsidP="004B28D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EA7926">
        <w:rPr>
          <w:rFonts w:ascii="Times New Roman" w:hAnsi="Times New Roman"/>
          <w:color w:val="000000"/>
          <w:sz w:val="24"/>
        </w:rPr>
        <w:t>Политичката поларизација во Собранието дополнително се продлабочи, со што се одложи донесувањето на многу реформски закони и важни именувања. Процесот на пристапни</w:t>
      </w:r>
      <w:r w:rsidR="00F9149B" w:rsidRPr="00EA7926">
        <w:rPr>
          <w:rFonts w:ascii="Times New Roman" w:hAnsi="Times New Roman"/>
          <w:color w:val="000000"/>
          <w:sz w:val="24"/>
        </w:rPr>
        <w:t>те</w:t>
      </w:r>
      <w:r w:rsidRPr="00EA7926">
        <w:rPr>
          <w:rFonts w:ascii="Times New Roman" w:hAnsi="Times New Roman"/>
          <w:color w:val="000000"/>
          <w:sz w:val="24"/>
        </w:rPr>
        <w:t xml:space="preserve"> преговори за </w:t>
      </w:r>
      <w:r w:rsidR="00F9149B" w:rsidRPr="00EA7926">
        <w:rPr>
          <w:rFonts w:ascii="Times New Roman" w:hAnsi="Times New Roman"/>
          <w:color w:val="000000"/>
          <w:sz w:val="24"/>
        </w:rPr>
        <w:t xml:space="preserve">членство </w:t>
      </w:r>
      <w:r w:rsidRPr="00EA7926">
        <w:rPr>
          <w:rFonts w:ascii="Times New Roman" w:hAnsi="Times New Roman"/>
          <w:color w:val="000000"/>
          <w:sz w:val="24"/>
        </w:rPr>
        <w:t xml:space="preserve">во ЕУ </w:t>
      </w:r>
      <w:r w:rsidR="00F9149B" w:rsidRPr="00EA7926">
        <w:rPr>
          <w:rFonts w:ascii="Times New Roman" w:hAnsi="Times New Roman"/>
          <w:color w:val="000000"/>
          <w:sz w:val="24"/>
        </w:rPr>
        <w:t xml:space="preserve">налага </w:t>
      </w:r>
      <w:r w:rsidRPr="00EA7926">
        <w:rPr>
          <w:rFonts w:ascii="Times New Roman" w:hAnsi="Times New Roman"/>
          <w:color w:val="000000"/>
          <w:sz w:val="24"/>
        </w:rPr>
        <w:t xml:space="preserve">широк консензус од главните политички партии. Сите партии треба да се вклучат во конструктивен и инклузивен политички дијалог за да се зајакне улогата на Собранието. Прекумерно, а понекогаш и несоодветно беа употребени скратени постапки и „европското знаменце“, во некои случаи поради недостаток на консултации и лошо планирање на законодавниот календар. „Европското знаменце“ треба да се користи кога е директно поврзано со донесувањето закони чија главна цел е усогласување со </w:t>
      </w:r>
      <w:r w:rsidRPr="00EA7926">
        <w:rPr>
          <w:rFonts w:ascii="Times New Roman" w:hAnsi="Times New Roman"/>
          <w:i/>
          <w:color w:val="000000"/>
          <w:sz w:val="24"/>
        </w:rPr>
        <w:t>правото</w:t>
      </w:r>
      <w:r w:rsidRPr="00EA7926">
        <w:rPr>
          <w:rFonts w:ascii="Times New Roman" w:hAnsi="Times New Roman"/>
          <w:color w:val="000000"/>
          <w:sz w:val="24"/>
        </w:rPr>
        <w:t xml:space="preserve"> на ЕУ, а не за скратување јавна дебата за важни прашања. Собранискиот надзор врз работата на извршната власт редовно се вршеше преку пратенички прашања до министрите. Партиите треба да </w:t>
      </w:r>
      <w:r w:rsidR="00270B5B" w:rsidRPr="00EA7926">
        <w:rPr>
          <w:rFonts w:ascii="Times New Roman" w:hAnsi="Times New Roman"/>
          <w:color w:val="000000"/>
          <w:sz w:val="24"/>
        </w:rPr>
        <w:t xml:space="preserve">вложат максимални </w:t>
      </w:r>
      <w:r w:rsidRPr="00EA7926">
        <w:rPr>
          <w:rFonts w:ascii="Times New Roman" w:hAnsi="Times New Roman"/>
          <w:color w:val="000000"/>
          <w:sz w:val="24"/>
        </w:rPr>
        <w:t xml:space="preserve">напори за исполнување на </w:t>
      </w:r>
      <w:r w:rsidR="00270B5B" w:rsidRPr="00EA7926">
        <w:rPr>
          <w:rFonts w:ascii="Times New Roman" w:hAnsi="Times New Roman"/>
          <w:color w:val="000000"/>
          <w:sz w:val="24"/>
        </w:rPr>
        <w:t xml:space="preserve">долгорочно </w:t>
      </w:r>
      <w:r w:rsidRPr="00EA7926">
        <w:rPr>
          <w:rFonts w:ascii="Times New Roman" w:hAnsi="Times New Roman"/>
          <w:color w:val="000000"/>
          <w:sz w:val="24"/>
        </w:rPr>
        <w:t xml:space="preserve">задоцнетите обврски за внатрешни реформи </w:t>
      </w:r>
      <w:r w:rsidR="00686158">
        <w:rPr>
          <w:rFonts w:ascii="Times New Roman" w:hAnsi="Times New Roman"/>
          <w:color w:val="000000"/>
          <w:sz w:val="24"/>
        </w:rPr>
        <w:t>што</w:t>
      </w:r>
      <w:r w:rsidRPr="00EA7926">
        <w:rPr>
          <w:rFonts w:ascii="Times New Roman" w:hAnsi="Times New Roman"/>
          <w:color w:val="000000"/>
          <w:sz w:val="24"/>
        </w:rPr>
        <w:t xml:space="preserve"> произлегоа од третиот круг на „Дијалогот Жан Моне“ на почетокот на 2020 година. Продолжува утврдувањето на кривичната одговорност за лицата што организираа или извршија насилство во нападот врз Собранието на 27 април 2017 година. </w:t>
      </w:r>
      <w:r w:rsidR="00270B5B" w:rsidRPr="00EA7926">
        <w:rPr>
          <w:rFonts w:ascii="Times New Roman" w:hAnsi="Times New Roman"/>
          <w:color w:val="000000"/>
          <w:sz w:val="24"/>
        </w:rPr>
        <w:t xml:space="preserve">Неопходно </w:t>
      </w:r>
      <w:r w:rsidRPr="00EA7926">
        <w:rPr>
          <w:rFonts w:ascii="Times New Roman" w:hAnsi="Times New Roman"/>
          <w:color w:val="000000"/>
          <w:sz w:val="24"/>
        </w:rPr>
        <w:t>е брзо спроведување на препораките од Групата држави против корупцијата за да се зголеми транспарентноста на финансирањето на политичките партии. Собранието треба да обезбеди навремен преглед на законските извештаи што му ги испраќаат државните агенции и тела.</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Откако </w:t>
      </w:r>
      <w:r w:rsidR="00F202AC" w:rsidRPr="00EA7926">
        <w:rPr>
          <w:rFonts w:ascii="Times New Roman" w:hAnsi="Times New Roman"/>
          <w:color w:val="000000"/>
          <w:sz w:val="24"/>
        </w:rPr>
        <w:t xml:space="preserve">се заменети </w:t>
      </w:r>
      <w:r w:rsidRPr="00EA7926">
        <w:rPr>
          <w:rFonts w:ascii="Times New Roman" w:hAnsi="Times New Roman"/>
          <w:color w:val="000000"/>
          <w:sz w:val="24"/>
        </w:rPr>
        <w:t>некои пратеници, бројот на жени пратени</w:t>
      </w:r>
      <w:r w:rsidR="00287E9F">
        <w:rPr>
          <w:rFonts w:ascii="Times New Roman" w:hAnsi="Times New Roman"/>
          <w:color w:val="000000"/>
          <w:sz w:val="24"/>
        </w:rPr>
        <w:t>ци</w:t>
      </w:r>
      <w:r w:rsidRPr="00EA7926">
        <w:rPr>
          <w:rFonts w:ascii="Times New Roman" w:hAnsi="Times New Roman"/>
          <w:color w:val="000000"/>
          <w:sz w:val="24"/>
        </w:rPr>
        <w:t xml:space="preserve"> се зголеми од 50 на 51 од вкупно 120, со што се достигна досега највисокиот процент (42,5</w:t>
      </w:r>
      <w:r w:rsidR="0089059D">
        <w:rPr>
          <w:rFonts w:ascii="Times New Roman" w:hAnsi="Times New Roman"/>
          <w:color w:val="000000"/>
          <w:sz w:val="24"/>
        </w:rPr>
        <w:t xml:space="preserve"> </w:t>
      </w:r>
      <w:r w:rsidRPr="00EA7926">
        <w:rPr>
          <w:rFonts w:ascii="Times New Roman" w:hAnsi="Times New Roman"/>
          <w:color w:val="000000"/>
          <w:sz w:val="24"/>
        </w:rPr>
        <w:t xml:space="preserve">%). Бројот на пратеници од немнозинските заедници се намали од 42 на 41 од </w:t>
      </w:r>
      <w:r w:rsidR="00C226A1" w:rsidRPr="00EA7926">
        <w:rPr>
          <w:rFonts w:ascii="Times New Roman" w:hAnsi="Times New Roman"/>
          <w:color w:val="000000"/>
          <w:sz w:val="24"/>
        </w:rPr>
        <w:t xml:space="preserve">вкупно </w:t>
      </w:r>
      <w:r w:rsidRPr="00EA7926">
        <w:rPr>
          <w:rFonts w:ascii="Times New Roman" w:hAnsi="Times New Roman"/>
          <w:color w:val="000000"/>
          <w:sz w:val="24"/>
        </w:rPr>
        <w:t>120 (34</w:t>
      </w:r>
      <w:r w:rsidR="0089059D">
        <w:rPr>
          <w:rFonts w:ascii="Times New Roman" w:hAnsi="Times New Roman"/>
          <w:color w:val="000000"/>
          <w:sz w:val="24"/>
        </w:rPr>
        <w:t xml:space="preserve"> </w:t>
      </w:r>
      <w:r w:rsidRPr="00EA7926">
        <w:rPr>
          <w:rFonts w:ascii="Times New Roman" w:hAnsi="Times New Roman"/>
          <w:color w:val="000000"/>
          <w:sz w:val="24"/>
        </w:rPr>
        <w:t>%). Во март 2023 година Алијанса за Албанците се приклучи на владејачката коалиција, додека Алтернатива премина во опозиција.</w:t>
      </w:r>
      <w:r w:rsidRPr="00EA7926">
        <w:rPr>
          <w:rFonts w:ascii="Times New Roman" w:hAnsi="Times New Roman"/>
          <w:i/>
          <w:color w:val="000000"/>
          <w:sz w:val="24"/>
        </w:rPr>
        <w:t xml:space="preserve"> </w:t>
      </w:r>
      <w:r w:rsidRPr="00EA7926">
        <w:rPr>
          <w:rFonts w:ascii="Times New Roman" w:hAnsi="Times New Roman"/>
          <w:i/>
          <w:iCs/>
          <w:color w:val="000000"/>
          <w:sz w:val="24"/>
        </w:rPr>
        <w:t>Вид</w:t>
      </w:r>
      <w:r w:rsidR="00652875">
        <w:rPr>
          <w:rFonts w:ascii="Times New Roman" w:hAnsi="Times New Roman"/>
          <w:i/>
          <w:iCs/>
          <w:color w:val="000000"/>
          <w:sz w:val="24"/>
        </w:rPr>
        <w:t>ете</w:t>
      </w:r>
      <w:r w:rsidRPr="00EA7926">
        <w:rPr>
          <w:rFonts w:ascii="Times New Roman" w:hAnsi="Times New Roman"/>
          <w:i/>
          <w:iCs/>
          <w:color w:val="000000"/>
          <w:sz w:val="24"/>
        </w:rPr>
        <w:t xml:space="preserve"> Владеење</w:t>
      </w:r>
      <w:r w:rsidRPr="00EA7926">
        <w:rPr>
          <w:rFonts w:ascii="Times New Roman" w:hAnsi="Times New Roman"/>
          <w:color w:val="000000"/>
          <w:sz w:val="24"/>
        </w:rPr>
        <w:t>.</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b/>
          <w:bCs/>
          <w:color w:val="000000"/>
          <w:sz w:val="24"/>
        </w:rPr>
        <w:t>Политичкиот дијалог</w:t>
      </w:r>
      <w:r w:rsidRPr="00EA7926">
        <w:rPr>
          <w:rFonts w:ascii="Times New Roman" w:hAnsi="Times New Roman"/>
          <w:color w:val="000000"/>
          <w:sz w:val="24"/>
        </w:rPr>
        <w:t xml:space="preserve"> во Собранието страдаше од недостатокот на меѓупартиски консензус, иако опозицијата поддржа одредени економски, енергетски и социјални мерки. Партиите во Собранието треба да соработуваат во однос на преговарачкиот процес за пристапување кон ЕУ и да го забрзаат спроведувањето на реформите поврзани со ЕУ. Националниот совет за евроинтеграции не </w:t>
      </w:r>
      <w:r w:rsidR="00763364" w:rsidRPr="00EA7926">
        <w:rPr>
          <w:rFonts w:ascii="Times New Roman" w:hAnsi="Times New Roman"/>
          <w:color w:val="000000"/>
          <w:sz w:val="24"/>
        </w:rPr>
        <w:t>одржува</w:t>
      </w:r>
      <w:r w:rsidRPr="00EA7926">
        <w:rPr>
          <w:rFonts w:ascii="Times New Roman" w:hAnsi="Times New Roman"/>
          <w:color w:val="000000"/>
          <w:sz w:val="24"/>
        </w:rPr>
        <w:t xml:space="preserve"> често</w:t>
      </w:r>
      <w:r w:rsidR="00763364" w:rsidRPr="00EA7926">
        <w:rPr>
          <w:rFonts w:ascii="Times New Roman" w:hAnsi="Times New Roman"/>
          <w:color w:val="000000"/>
          <w:sz w:val="24"/>
        </w:rPr>
        <w:t xml:space="preserve"> состаноци</w:t>
      </w:r>
      <w:r w:rsidRPr="00EA7926">
        <w:rPr>
          <w:rFonts w:ascii="Times New Roman" w:hAnsi="Times New Roman"/>
          <w:color w:val="000000"/>
          <w:sz w:val="24"/>
        </w:rPr>
        <w:t>. Одржа</w:t>
      </w:r>
      <w:r w:rsidR="00763364" w:rsidRPr="00EA7926">
        <w:rPr>
          <w:rFonts w:ascii="Times New Roman" w:hAnsi="Times New Roman"/>
          <w:color w:val="000000"/>
          <w:sz w:val="24"/>
        </w:rPr>
        <w:t>ни се</w:t>
      </w:r>
      <w:r w:rsidRPr="00EA7926">
        <w:rPr>
          <w:rFonts w:ascii="Times New Roman" w:hAnsi="Times New Roman"/>
          <w:color w:val="000000"/>
          <w:sz w:val="24"/>
        </w:rPr>
        <w:t xml:space="preserve"> само три седници</w:t>
      </w:r>
      <w:r w:rsidR="00763364" w:rsidRPr="00EA7926">
        <w:rPr>
          <w:rFonts w:ascii="Times New Roman" w:hAnsi="Times New Roman"/>
          <w:color w:val="000000"/>
          <w:sz w:val="24"/>
        </w:rPr>
        <w:t>,</w:t>
      </w:r>
      <w:r w:rsidRPr="00EA7926">
        <w:rPr>
          <w:rFonts w:ascii="Times New Roman" w:hAnsi="Times New Roman"/>
          <w:color w:val="000000"/>
          <w:sz w:val="24"/>
        </w:rPr>
        <w:t xml:space="preserve"> вклучително и една заедничка со Комисијата за европски прашања. Потребни се одлучни чекори за да се осигури дека Советот ја врши својата функција како главно средство за унапредување на ЕУ</w:t>
      </w:r>
      <w:r w:rsidR="00E34494">
        <w:rPr>
          <w:rFonts w:ascii="Times New Roman" w:hAnsi="Times New Roman"/>
          <w:color w:val="000000"/>
          <w:sz w:val="24"/>
        </w:rPr>
        <w:t>-</w:t>
      </w:r>
      <w:r w:rsidRPr="00EA7926">
        <w:rPr>
          <w:rFonts w:ascii="Times New Roman" w:hAnsi="Times New Roman"/>
          <w:color w:val="000000"/>
          <w:sz w:val="24"/>
        </w:rPr>
        <w:t>интеграциите во Собранието.</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Постојната поларизација меѓу владејачките партии и опозицијата </w:t>
      </w:r>
      <w:r w:rsidR="00763364" w:rsidRPr="00EA7926">
        <w:rPr>
          <w:rFonts w:ascii="Times New Roman" w:hAnsi="Times New Roman"/>
          <w:color w:val="000000"/>
          <w:sz w:val="24"/>
        </w:rPr>
        <w:t>спречува</w:t>
      </w:r>
      <w:r w:rsidRPr="00EA7926">
        <w:rPr>
          <w:rFonts w:ascii="Times New Roman" w:hAnsi="Times New Roman"/>
          <w:color w:val="000000"/>
          <w:sz w:val="24"/>
        </w:rPr>
        <w:t xml:space="preserve"> Собранието нормално </w:t>
      </w:r>
      <w:r w:rsidR="00763364" w:rsidRPr="00EA7926">
        <w:rPr>
          <w:rFonts w:ascii="Times New Roman" w:hAnsi="Times New Roman"/>
          <w:color w:val="000000"/>
          <w:sz w:val="24"/>
        </w:rPr>
        <w:t xml:space="preserve">да </w:t>
      </w:r>
      <w:r w:rsidRPr="00EA7926">
        <w:rPr>
          <w:rFonts w:ascii="Times New Roman" w:hAnsi="Times New Roman"/>
          <w:color w:val="000000"/>
          <w:sz w:val="24"/>
        </w:rPr>
        <w:t>функционира. Главната опозициска партија ВМРО-ДПМНЕ</w:t>
      </w:r>
      <w:r w:rsidRPr="00EA7926">
        <w:rPr>
          <w:rStyle w:val="FootnoteReference"/>
          <w:rFonts w:ascii="Times New Roman" w:hAnsi="Times New Roman"/>
          <w:color w:val="000000"/>
          <w:sz w:val="24"/>
          <w:szCs w:val="24"/>
        </w:rPr>
        <w:footnoteReference w:id="3"/>
      </w:r>
      <w:r w:rsidRPr="00EA7926">
        <w:rPr>
          <w:rFonts w:ascii="Times New Roman" w:hAnsi="Times New Roman"/>
          <w:color w:val="000000"/>
          <w:sz w:val="24"/>
        </w:rPr>
        <w:t xml:space="preserve"> активно ја блокираше работата на Собранието, што е значителна </w:t>
      </w:r>
      <w:r w:rsidR="00EB1C1C">
        <w:rPr>
          <w:rFonts w:ascii="Times New Roman" w:hAnsi="Times New Roman"/>
          <w:color w:val="000000"/>
          <w:sz w:val="24"/>
        </w:rPr>
        <w:t>препрека</w:t>
      </w:r>
      <w:r w:rsidRPr="00EA7926">
        <w:rPr>
          <w:rFonts w:ascii="Times New Roman" w:hAnsi="Times New Roman"/>
          <w:color w:val="000000"/>
          <w:sz w:val="24"/>
        </w:rPr>
        <w:t xml:space="preserve"> за напредокот на законодавната агенда во Собранието. Меѓутоа, </w:t>
      </w:r>
      <w:r w:rsidR="00763364" w:rsidRPr="00EA7926">
        <w:rPr>
          <w:rFonts w:ascii="Times New Roman" w:hAnsi="Times New Roman"/>
          <w:color w:val="000000"/>
          <w:sz w:val="24"/>
        </w:rPr>
        <w:t xml:space="preserve">ВМРО-ДПМНЕ </w:t>
      </w:r>
      <w:r w:rsidRPr="00EA7926">
        <w:rPr>
          <w:rFonts w:ascii="Times New Roman" w:hAnsi="Times New Roman"/>
          <w:color w:val="000000"/>
          <w:sz w:val="24"/>
        </w:rPr>
        <w:t xml:space="preserve">учествуваше во одредени дебати за важни прашања, иако </w:t>
      </w:r>
      <w:r w:rsidR="00763364" w:rsidRPr="00EA7926">
        <w:rPr>
          <w:rFonts w:ascii="Times New Roman" w:hAnsi="Times New Roman"/>
          <w:color w:val="000000"/>
          <w:sz w:val="24"/>
        </w:rPr>
        <w:t>се воздржуваше од гласање</w:t>
      </w:r>
      <w:r w:rsidRPr="00EA7926">
        <w:rPr>
          <w:rFonts w:ascii="Times New Roman" w:hAnsi="Times New Roman"/>
          <w:color w:val="000000"/>
          <w:sz w:val="24"/>
        </w:rPr>
        <w:t>, на пример, за ратификацијата на Договорот со Фронтекс. По реконструкцијата на владината коалиција, составот на собраниските тела е променет за да ја одраз</w:t>
      </w:r>
      <w:r w:rsidR="00763364" w:rsidRPr="00EA7926">
        <w:rPr>
          <w:rFonts w:ascii="Times New Roman" w:hAnsi="Times New Roman"/>
          <w:color w:val="000000"/>
          <w:sz w:val="24"/>
        </w:rPr>
        <w:t>ува</w:t>
      </w:r>
      <w:r w:rsidRPr="00EA7926">
        <w:rPr>
          <w:rFonts w:ascii="Times New Roman" w:hAnsi="Times New Roman"/>
          <w:color w:val="000000"/>
          <w:sz w:val="24"/>
        </w:rPr>
        <w:t xml:space="preserve"> </w:t>
      </w:r>
      <w:r w:rsidR="00277062" w:rsidRPr="00EA7926">
        <w:rPr>
          <w:rFonts w:ascii="Times New Roman" w:hAnsi="Times New Roman"/>
          <w:color w:val="000000"/>
          <w:sz w:val="24"/>
        </w:rPr>
        <w:t xml:space="preserve">пропорционално </w:t>
      </w:r>
      <w:r w:rsidRPr="00EA7926">
        <w:rPr>
          <w:rFonts w:ascii="Times New Roman" w:hAnsi="Times New Roman"/>
          <w:color w:val="000000"/>
          <w:sz w:val="24"/>
        </w:rPr>
        <w:t>новата коалиција и да обезбеди мнозинство во клучните тела. Не е постигнат консензус за важни именувања</w:t>
      </w:r>
      <w:r w:rsidR="00763364" w:rsidRPr="00EA7926">
        <w:rPr>
          <w:rFonts w:ascii="Times New Roman" w:hAnsi="Times New Roman"/>
          <w:color w:val="000000"/>
          <w:sz w:val="24"/>
        </w:rPr>
        <w:t xml:space="preserve"> </w:t>
      </w:r>
      <w:r w:rsidR="001F0BB1">
        <w:rPr>
          <w:rFonts w:ascii="Times New Roman" w:hAnsi="Times New Roman"/>
          <w:color w:val="000000"/>
          <w:sz w:val="24"/>
        </w:rPr>
        <w:t>што</w:t>
      </w:r>
      <w:r w:rsidR="00763364" w:rsidRPr="00EA7926">
        <w:rPr>
          <w:rFonts w:ascii="Times New Roman" w:hAnsi="Times New Roman"/>
          <w:color w:val="000000"/>
          <w:sz w:val="24"/>
        </w:rPr>
        <w:t xml:space="preserve"> долго време се одложуваат</w:t>
      </w:r>
      <w:r w:rsidRPr="00EA7926">
        <w:rPr>
          <w:rFonts w:ascii="Times New Roman" w:hAnsi="Times New Roman"/>
          <w:color w:val="000000"/>
          <w:sz w:val="24"/>
        </w:rPr>
        <w:t xml:space="preserve">. Ова се однесува на двајца нови судии за </w:t>
      </w:r>
      <w:r w:rsidR="00A3154D" w:rsidRPr="00EA7926">
        <w:rPr>
          <w:rFonts w:ascii="Times New Roman" w:hAnsi="Times New Roman"/>
          <w:color w:val="000000"/>
          <w:sz w:val="24"/>
        </w:rPr>
        <w:t xml:space="preserve">Уставниот </w:t>
      </w:r>
      <w:r w:rsidRPr="00EA7926">
        <w:rPr>
          <w:rFonts w:ascii="Times New Roman" w:hAnsi="Times New Roman"/>
          <w:color w:val="000000"/>
          <w:sz w:val="24"/>
        </w:rPr>
        <w:t xml:space="preserve">суд, пет заменици народни правобранители, членови на Програмскиот совет на </w:t>
      </w:r>
      <w:r w:rsidR="00467B9C">
        <w:rPr>
          <w:rFonts w:ascii="Times New Roman" w:hAnsi="Times New Roman"/>
          <w:color w:val="000000"/>
          <w:sz w:val="24"/>
        </w:rPr>
        <w:t>ј</w:t>
      </w:r>
      <w:r w:rsidRPr="00EA7926">
        <w:rPr>
          <w:rFonts w:ascii="Times New Roman" w:hAnsi="Times New Roman"/>
          <w:color w:val="000000"/>
          <w:sz w:val="24"/>
        </w:rPr>
        <w:t>авниот радиодифузен сервис и на Советот на Агенцијата за аудио и аудиовизуелни медиумски услуги и член на Комисијата за заштита и спречување од дискриминација. Од суштинско значење е именувањата на овие позиции да се засноваат на заслуги, а не на политичка основа.</w:t>
      </w:r>
      <w:r w:rsidR="00763364" w:rsidRPr="00EA7926">
        <w:rPr>
          <w:rFonts w:ascii="Times New Roman" w:hAnsi="Times New Roman"/>
          <w:color w:val="000000"/>
          <w:sz w:val="24"/>
        </w:rPr>
        <w:t xml:space="preserve"> </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b/>
          <w:bCs/>
          <w:color w:val="000000"/>
          <w:sz w:val="24"/>
        </w:rPr>
        <w:t>Процесот на носење закони</w:t>
      </w:r>
      <w:r w:rsidRPr="00EA7926">
        <w:rPr>
          <w:rFonts w:ascii="Times New Roman" w:hAnsi="Times New Roman"/>
          <w:color w:val="000000"/>
          <w:sz w:val="24"/>
        </w:rPr>
        <w:t xml:space="preserve"> би </w:t>
      </w:r>
      <w:r w:rsidR="00A3154D" w:rsidRPr="00EA7926">
        <w:rPr>
          <w:rFonts w:ascii="Times New Roman" w:hAnsi="Times New Roman"/>
          <w:color w:val="000000"/>
          <w:sz w:val="24"/>
        </w:rPr>
        <w:t>се подобрил</w:t>
      </w:r>
      <w:r w:rsidRPr="00EA7926">
        <w:rPr>
          <w:rFonts w:ascii="Times New Roman" w:hAnsi="Times New Roman"/>
          <w:color w:val="000000"/>
          <w:sz w:val="24"/>
        </w:rPr>
        <w:t xml:space="preserve"> по</w:t>
      </w:r>
      <w:r w:rsidR="00D92F90">
        <w:rPr>
          <w:rFonts w:ascii="Times New Roman" w:hAnsi="Times New Roman"/>
          <w:color w:val="000000"/>
          <w:sz w:val="24"/>
        </w:rPr>
        <w:t xml:space="preserve"> </w:t>
      </w:r>
      <w:r w:rsidRPr="00EA7926">
        <w:rPr>
          <w:rFonts w:ascii="Times New Roman" w:hAnsi="Times New Roman"/>
          <w:color w:val="000000"/>
          <w:sz w:val="24"/>
        </w:rPr>
        <w:t xml:space="preserve">ефикасното планирање и координација меѓу владејачката коалиција и опозицијата. Од јануари 2022 година до 15 јуни 2023 година, од вкупно 165 донесени закони, 51 </w:t>
      </w:r>
      <w:r w:rsidR="00B93468">
        <w:rPr>
          <w:rFonts w:ascii="Times New Roman" w:hAnsi="Times New Roman"/>
          <w:color w:val="000000"/>
          <w:sz w:val="24"/>
        </w:rPr>
        <w:t>закон се</w:t>
      </w:r>
      <w:r w:rsidRPr="00EA7926">
        <w:rPr>
          <w:rFonts w:ascii="Times New Roman" w:hAnsi="Times New Roman"/>
          <w:color w:val="000000"/>
          <w:sz w:val="24"/>
        </w:rPr>
        <w:t xml:space="preserve"> донесен</w:t>
      </w:r>
      <w:r w:rsidR="00B93468">
        <w:rPr>
          <w:rFonts w:ascii="Times New Roman" w:hAnsi="Times New Roman"/>
          <w:color w:val="000000"/>
          <w:sz w:val="24"/>
        </w:rPr>
        <w:t>и</w:t>
      </w:r>
      <w:r w:rsidRPr="00EA7926">
        <w:rPr>
          <w:rFonts w:ascii="Times New Roman" w:hAnsi="Times New Roman"/>
          <w:color w:val="000000"/>
          <w:sz w:val="24"/>
        </w:rPr>
        <w:t xml:space="preserve"> во редовна постапка, 86 во скратена постапка и 28 </w:t>
      </w:r>
      <w:r w:rsidR="00A3154D" w:rsidRPr="00EA7926">
        <w:rPr>
          <w:rFonts w:ascii="Times New Roman" w:hAnsi="Times New Roman"/>
          <w:color w:val="000000"/>
          <w:sz w:val="24"/>
        </w:rPr>
        <w:t>з</w:t>
      </w:r>
      <w:r w:rsidRPr="00EA7926">
        <w:rPr>
          <w:rFonts w:ascii="Times New Roman" w:hAnsi="Times New Roman"/>
          <w:color w:val="000000"/>
          <w:sz w:val="24"/>
        </w:rPr>
        <w:t>а ратификација. Опозицијата ја критикува</w:t>
      </w:r>
      <w:r w:rsidR="004108F2">
        <w:rPr>
          <w:rFonts w:ascii="Times New Roman" w:hAnsi="Times New Roman"/>
          <w:color w:val="000000"/>
          <w:sz w:val="24"/>
        </w:rPr>
        <w:t>ше</w:t>
      </w:r>
      <w:r w:rsidRPr="00EA7926">
        <w:rPr>
          <w:rFonts w:ascii="Times New Roman" w:hAnsi="Times New Roman"/>
          <w:color w:val="000000"/>
          <w:sz w:val="24"/>
        </w:rPr>
        <w:t xml:space="preserve"> </w:t>
      </w:r>
      <w:r w:rsidR="00FF212E">
        <w:rPr>
          <w:rFonts w:ascii="Times New Roman" w:hAnsi="Times New Roman"/>
          <w:color w:val="000000"/>
          <w:sz w:val="24"/>
        </w:rPr>
        <w:t>В</w:t>
      </w:r>
      <w:r w:rsidRPr="00EA7926">
        <w:rPr>
          <w:rFonts w:ascii="Times New Roman" w:hAnsi="Times New Roman"/>
          <w:color w:val="000000"/>
          <w:sz w:val="24"/>
        </w:rPr>
        <w:t>ладата за злоупотреба на скратени рокови во постапката со „знаменце</w:t>
      </w:r>
      <w:r w:rsidR="002312C1">
        <w:rPr>
          <w:rFonts w:ascii="Times New Roman" w:hAnsi="Times New Roman"/>
          <w:color w:val="000000"/>
          <w:sz w:val="24"/>
        </w:rPr>
        <w:t xml:space="preserve"> на ЕУ</w:t>
      </w:r>
      <w:r w:rsidRPr="00EA7926">
        <w:rPr>
          <w:rFonts w:ascii="Times New Roman" w:hAnsi="Times New Roman"/>
          <w:color w:val="000000"/>
          <w:sz w:val="24"/>
        </w:rPr>
        <w:t xml:space="preserve">“ за усогласување на законодавството со </w:t>
      </w:r>
      <w:r w:rsidRPr="00EA7926">
        <w:rPr>
          <w:rFonts w:ascii="Times New Roman" w:hAnsi="Times New Roman"/>
          <w:i/>
          <w:iCs/>
          <w:color w:val="000000"/>
          <w:sz w:val="24"/>
        </w:rPr>
        <w:t>правото</w:t>
      </w:r>
      <w:r w:rsidRPr="00EA7926">
        <w:rPr>
          <w:rFonts w:ascii="Times New Roman" w:hAnsi="Times New Roman"/>
          <w:color w:val="000000"/>
          <w:sz w:val="24"/>
        </w:rPr>
        <w:t xml:space="preserve"> на ЕУ. Постапки со „знаменце</w:t>
      </w:r>
      <w:r w:rsidR="002312C1">
        <w:rPr>
          <w:rFonts w:ascii="Times New Roman" w:hAnsi="Times New Roman"/>
          <w:color w:val="000000"/>
          <w:sz w:val="24"/>
        </w:rPr>
        <w:t xml:space="preserve"> на ЕУ</w:t>
      </w:r>
      <w:r w:rsidRPr="00EA7926">
        <w:rPr>
          <w:rFonts w:ascii="Times New Roman" w:hAnsi="Times New Roman"/>
          <w:color w:val="000000"/>
          <w:sz w:val="24"/>
        </w:rPr>
        <w:t>“ се користе</w:t>
      </w:r>
      <w:r w:rsidR="00A3154D" w:rsidRPr="00EA7926">
        <w:rPr>
          <w:rFonts w:ascii="Times New Roman" w:hAnsi="Times New Roman"/>
          <w:color w:val="000000"/>
          <w:sz w:val="24"/>
        </w:rPr>
        <w:t>ле</w:t>
      </w:r>
      <w:r w:rsidRPr="00EA7926">
        <w:rPr>
          <w:rFonts w:ascii="Times New Roman" w:hAnsi="Times New Roman"/>
          <w:color w:val="000000"/>
          <w:sz w:val="24"/>
        </w:rPr>
        <w:t>, меѓу другото</w:t>
      </w:r>
      <w:r w:rsidR="00A3154D" w:rsidRPr="00EA7926">
        <w:rPr>
          <w:rFonts w:ascii="Times New Roman" w:hAnsi="Times New Roman"/>
          <w:color w:val="000000"/>
          <w:sz w:val="24"/>
        </w:rPr>
        <w:t>,</w:t>
      </w:r>
      <w:r w:rsidRPr="00EA7926">
        <w:rPr>
          <w:rFonts w:ascii="Times New Roman" w:hAnsi="Times New Roman"/>
          <w:color w:val="000000"/>
          <w:sz w:val="24"/>
        </w:rPr>
        <w:t xml:space="preserve"> и за менување на Кривичниот законик со воведување пониски казни за кривични дела за корупција и за измена на законите за работни односи, урбано планирање, изградба и </w:t>
      </w:r>
      <w:r w:rsidR="00004C91">
        <w:rPr>
          <w:rFonts w:ascii="Times New Roman" w:hAnsi="Times New Roman"/>
          <w:color w:val="000000"/>
          <w:sz w:val="24"/>
        </w:rPr>
        <w:t>автопатишта</w:t>
      </w:r>
      <w:r w:rsidRPr="00EA7926">
        <w:rPr>
          <w:rFonts w:ascii="Times New Roman" w:hAnsi="Times New Roman"/>
          <w:color w:val="000000"/>
          <w:sz w:val="24"/>
        </w:rPr>
        <w:t xml:space="preserve"> </w:t>
      </w:r>
      <w:r w:rsidR="00004C91">
        <w:rPr>
          <w:rFonts w:ascii="Times New Roman" w:hAnsi="Times New Roman"/>
          <w:color w:val="000000"/>
          <w:sz w:val="24"/>
        </w:rPr>
        <w:t>што</w:t>
      </w:r>
      <w:r w:rsidR="00004C91" w:rsidRPr="00EA7926">
        <w:rPr>
          <w:rFonts w:ascii="Times New Roman" w:hAnsi="Times New Roman"/>
          <w:color w:val="000000"/>
          <w:sz w:val="24"/>
        </w:rPr>
        <w:t xml:space="preserve"> </w:t>
      </w:r>
      <w:r w:rsidRPr="00EA7926">
        <w:rPr>
          <w:rFonts w:ascii="Times New Roman" w:hAnsi="Times New Roman"/>
          <w:color w:val="000000"/>
          <w:sz w:val="24"/>
        </w:rPr>
        <w:t>треба да се изградат (особено патниот коридор VIII и X</w:t>
      </w:r>
      <w:r w:rsidR="00C526CF">
        <w:rPr>
          <w:rFonts w:ascii="Times New Roman" w:hAnsi="Times New Roman"/>
          <w:color w:val="000000"/>
          <w:sz w:val="24"/>
        </w:rPr>
        <w:t>-</w:t>
      </w:r>
      <w:r w:rsidR="0005499E" w:rsidRPr="00EA7926">
        <w:rPr>
          <w:rFonts w:ascii="Times New Roman" w:hAnsi="Times New Roman"/>
          <w:color w:val="000000"/>
          <w:sz w:val="24"/>
        </w:rPr>
        <w:t>d</w:t>
      </w:r>
      <w:r w:rsidRPr="00EA7926">
        <w:rPr>
          <w:rFonts w:ascii="Times New Roman" w:hAnsi="Times New Roman"/>
          <w:color w:val="000000"/>
          <w:sz w:val="24"/>
        </w:rPr>
        <w:t xml:space="preserve">) и покрај фактот што овие измени </w:t>
      </w:r>
      <w:r w:rsidR="007F25E4">
        <w:rPr>
          <w:rFonts w:ascii="Times New Roman" w:hAnsi="Times New Roman"/>
          <w:color w:val="000000"/>
          <w:sz w:val="24"/>
        </w:rPr>
        <w:t>главно</w:t>
      </w:r>
      <w:r w:rsidR="00725989" w:rsidRPr="00EA7926">
        <w:rPr>
          <w:rFonts w:ascii="Times New Roman" w:hAnsi="Times New Roman"/>
          <w:color w:val="000000"/>
          <w:sz w:val="24"/>
        </w:rPr>
        <w:t xml:space="preserve"> </w:t>
      </w:r>
      <w:r w:rsidRPr="00EA7926">
        <w:rPr>
          <w:rFonts w:ascii="Times New Roman" w:hAnsi="Times New Roman"/>
          <w:color w:val="000000"/>
          <w:sz w:val="24"/>
        </w:rPr>
        <w:t xml:space="preserve">не се однесуваа на усогласување на постојното законодавство со </w:t>
      </w:r>
      <w:r w:rsidRPr="00EA7926">
        <w:rPr>
          <w:rFonts w:ascii="Times New Roman" w:hAnsi="Times New Roman"/>
          <w:i/>
          <w:iCs/>
          <w:color w:val="000000"/>
          <w:sz w:val="24"/>
        </w:rPr>
        <w:t>правото</w:t>
      </w:r>
      <w:r w:rsidRPr="00EA7926">
        <w:rPr>
          <w:rFonts w:ascii="Times New Roman" w:hAnsi="Times New Roman"/>
          <w:color w:val="000000"/>
          <w:sz w:val="24"/>
        </w:rPr>
        <w:t xml:space="preserve"> на ЕУ. Употребата на „европското знаменце“ треба да е доследна и јасно поврзана со законите што главно имаат за цел да го усогласат националното законодавство со </w:t>
      </w:r>
      <w:r w:rsidRPr="00EA7926">
        <w:rPr>
          <w:rFonts w:ascii="Times New Roman" w:hAnsi="Times New Roman"/>
          <w:i/>
          <w:color w:val="000000"/>
          <w:sz w:val="24"/>
        </w:rPr>
        <w:t>правото</w:t>
      </w:r>
      <w:r w:rsidRPr="00EA7926">
        <w:rPr>
          <w:rFonts w:ascii="Times New Roman" w:hAnsi="Times New Roman"/>
          <w:color w:val="000000"/>
          <w:sz w:val="24"/>
        </w:rPr>
        <w:t xml:space="preserve"> на ЕУ. Постојано треба да се одржуваат сеопфатни консултации, вклучително и со Европската комисија. Бројот на закони донесени по скратена постапка</w:t>
      </w:r>
      <w:r w:rsidR="00A94191">
        <w:rPr>
          <w:rFonts w:ascii="Times New Roman" w:hAnsi="Times New Roman"/>
          <w:color w:val="000000"/>
          <w:sz w:val="24"/>
        </w:rPr>
        <w:t>,</w:t>
      </w:r>
      <w:r w:rsidRPr="00EA7926">
        <w:rPr>
          <w:rFonts w:ascii="Times New Roman" w:hAnsi="Times New Roman"/>
          <w:color w:val="000000"/>
          <w:sz w:val="24"/>
        </w:rPr>
        <w:t xml:space="preserve"> се зголеми</w:t>
      </w:r>
      <w:r w:rsidR="0005499E" w:rsidRPr="00EA7926">
        <w:rPr>
          <w:rFonts w:ascii="Times New Roman" w:hAnsi="Times New Roman"/>
          <w:color w:val="000000"/>
          <w:sz w:val="24"/>
        </w:rPr>
        <w:t>л</w:t>
      </w:r>
      <w:r w:rsidRPr="00EA7926">
        <w:rPr>
          <w:rFonts w:ascii="Times New Roman" w:hAnsi="Times New Roman"/>
          <w:color w:val="000000"/>
          <w:sz w:val="24"/>
        </w:rPr>
        <w:t xml:space="preserve"> од 38</w:t>
      </w:r>
      <w:r w:rsidR="0089059D">
        <w:rPr>
          <w:rFonts w:ascii="Times New Roman" w:hAnsi="Times New Roman"/>
          <w:color w:val="000000"/>
          <w:sz w:val="24"/>
        </w:rPr>
        <w:t xml:space="preserve"> </w:t>
      </w:r>
      <w:r w:rsidRPr="00EA7926">
        <w:rPr>
          <w:rFonts w:ascii="Times New Roman" w:hAnsi="Times New Roman"/>
          <w:color w:val="000000"/>
          <w:sz w:val="24"/>
        </w:rPr>
        <w:t>% на 59</w:t>
      </w:r>
      <w:r w:rsidR="0089059D">
        <w:rPr>
          <w:rFonts w:ascii="Times New Roman" w:hAnsi="Times New Roman"/>
          <w:color w:val="000000"/>
          <w:sz w:val="24"/>
        </w:rPr>
        <w:t xml:space="preserve"> </w:t>
      </w:r>
      <w:r w:rsidRPr="00EA7926">
        <w:rPr>
          <w:rFonts w:ascii="Times New Roman" w:hAnsi="Times New Roman"/>
          <w:color w:val="000000"/>
          <w:sz w:val="24"/>
        </w:rPr>
        <w:t>% на сметка на важн</w:t>
      </w:r>
      <w:r w:rsidR="0005499E" w:rsidRPr="00EA7926">
        <w:rPr>
          <w:rFonts w:ascii="Times New Roman" w:hAnsi="Times New Roman"/>
          <w:color w:val="000000"/>
          <w:sz w:val="24"/>
        </w:rPr>
        <w:t>и</w:t>
      </w:r>
      <w:r w:rsidRPr="00EA7926">
        <w:rPr>
          <w:rFonts w:ascii="Times New Roman" w:hAnsi="Times New Roman"/>
          <w:color w:val="000000"/>
          <w:sz w:val="24"/>
        </w:rPr>
        <w:t xml:space="preserve"> дебат</w:t>
      </w:r>
      <w:r w:rsidR="0005499E" w:rsidRPr="00EA7926">
        <w:rPr>
          <w:rFonts w:ascii="Times New Roman" w:hAnsi="Times New Roman"/>
          <w:color w:val="000000"/>
          <w:sz w:val="24"/>
        </w:rPr>
        <w:t>и</w:t>
      </w:r>
      <w:r w:rsidRPr="00EA7926">
        <w:rPr>
          <w:rFonts w:ascii="Times New Roman" w:hAnsi="Times New Roman"/>
          <w:color w:val="000000"/>
          <w:sz w:val="24"/>
        </w:rPr>
        <w:t xml:space="preserve"> и инклузивен законодавен процес. Употребата на скратени процедури треба да се ограничи. Тие не треба да се користат за да се скратат консултациите со јавноста или да се разрешат процедурални тешкотии во законодавството или да компензираат за лошото планирање на владино ниво. </w:t>
      </w:r>
      <w:r w:rsidRPr="00EA7926">
        <w:rPr>
          <w:rFonts w:ascii="Times New Roman" w:hAnsi="Times New Roman"/>
          <w:i/>
          <w:color w:val="000000"/>
          <w:sz w:val="24"/>
        </w:rPr>
        <w:t>Вид</w:t>
      </w:r>
      <w:r w:rsidR="0005499E" w:rsidRPr="00EA7926">
        <w:rPr>
          <w:rFonts w:ascii="Times New Roman" w:hAnsi="Times New Roman"/>
          <w:i/>
          <w:color w:val="000000"/>
          <w:sz w:val="24"/>
        </w:rPr>
        <w:t>ете</w:t>
      </w:r>
      <w:r w:rsidRPr="00EA7926">
        <w:rPr>
          <w:rFonts w:ascii="Times New Roman" w:hAnsi="Times New Roman"/>
          <w:i/>
          <w:color w:val="000000"/>
          <w:sz w:val="24"/>
        </w:rPr>
        <w:t xml:space="preserve"> 2.1.2. Реформа на јавната администрација</w:t>
      </w:r>
      <w:r w:rsidRPr="00EA7926">
        <w:rPr>
          <w:rFonts w:ascii="Times New Roman" w:hAnsi="Times New Roman"/>
          <w:color w:val="000000"/>
          <w:sz w:val="24"/>
        </w:rPr>
        <w:t>.</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b/>
          <w:color w:val="000000"/>
          <w:sz w:val="24"/>
        </w:rPr>
        <w:t>Надзорот</w:t>
      </w:r>
      <w:r w:rsidRPr="00EA7926">
        <w:rPr>
          <w:rFonts w:ascii="Times New Roman" w:hAnsi="Times New Roman"/>
          <w:color w:val="000000"/>
          <w:sz w:val="24"/>
        </w:rPr>
        <w:t xml:space="preserve"> на Собранието врз извршната власт продолжи со редовни седници за пратенички прашања. Извршната власт даде одговори на 167 писмени пратенички прашања добиени во 2022 година и во првиот квартал од 2023 година. Во текот на извештајниот период не беа разгледани две интерпелации </w:t>
      </w:r>
      <w:r w:rsidR="00A94191">
        <w:rPr>
          <w:rFonts w:ascii="Times New Roman" w:hAnsi="Times New Roman"/>
          <w:color w:val="000000"/>
          <w:sz w:val="24"/>
        </w:rPr>
        <w:t>–</w:t>
      </w:r>
      <w:r w:rsidRPr="00EA7926">
        <w:rPr>
          <w:rFonts w:ascii="Times New Roman" w:hAnsi="Times New Roman"/>
          <w:color w:val="000000"/>
          <w:sz w:val="24"/>
        </w:rPr>
        <w:t xml:space="preserve"> за работата на претседателот на Одборот за политички систем и односи меѓу заедниците и </w:t>
      </w:r>
      <w:r w:rsidR="00A94191">
        <w:rPr>
          <w:rFonts w:ascii="Times New Roman" w:hAnsi="Times New Roman"/>
          <w:color w:val="000000"/>
          <w:sz w:val="24"/>
        </w:rPr>
        <w:t xml:space="preserve">на </w:t>
      </w:r>
      <w:r w:rsidRPr="00EA7926">
        <w:rPr>
          <w:rFonts w:ascii="Times New Roman" w:hAnsi="Times New Roman"/>
          <w:color w:val="000000"/>
          <w:sz w:val="24"/>
        </w:rPr>
        <w:t xml:space="preserve">Комитетот за избори и именувања. Дискусиите на пленарните седници и во релевантните комисии за годишните извештаи од 2021 година од регулаторните, набљудувачките и надзорните тела </w:t>
      </w:r>
      <w:r w:rsidR="0005499E" w:rsidRPr="00EA7926">
        <w:rPr>
          <w:rFonts w:ascii="Times New Roman" w:hAnsi="Times New Roman"/>
          <w:color w:val="000000"/>
          <w:sz w:val="24"/>
        </w:rPr>
        <w:t xml:space="preserve">се </w:t>
      </w:r>
      <w:r w:rsidRPr="00EA7926">
        <w:rPr>
          <w:rFonts w:ascii="Times New Roman" w:hAnsi="Times New Roman"/>
          <w:color w:val="000000"/>
          <w:sz w:val="24"/>
        </w:rPr>
        <w:t>завршени на почетокот на 2023 година.</w:t>
      </w:r>
    </w:p>
    <w:p w:rsidR="004B28D4" w:rsidRPr="00EA7926" w:rsidRDefault="008126AC" w:rsidP="004B28D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rPr>
        <w:t>Спроведувањето</w:t>
      </w:r>
      <w:r w:rsidRPr="00EA7926">
        <w:rPr>
          <w:rFonts w:ascii="Times New Roman" w:hAnsi="Times New Roman"/>
          <w:color w:val="000000"/>
          <w:sz w:val="24"/>
        </w:rPr>
        <w:t xml:space="preserve"> </w:t>
      </w:r>
      <w:r w:rsidR="004B28D4" w:rsidRPr="00EA7926">
        <w:rPr>
          <w:rFonts w:ascii="Times New Roman" w:hAnsi="Times New Roman"/>
          <w:color w:val="000000"/>
          <w:sz w:val="24"/>
        </w:rPr>
        <w:t xml:space="preserve">на обврските преземени во третиот круг од „Дијалогот Жан Моне“ на почетокот на 2020 година не е </w:t>
      </w:r>
      <w:r w:rsidR="00FB1F55">
        <w:rPr>
          <w:rFonts w:ascii="Times New Roman" w:hAnsi="Times New Roman"/>
          <w:color w:val="000000"/>
          <w:sz w:val="24"/>
        </w:rPr>
        <w:t>завршено</w:t>
      </w:r>
      <w:r w:rsidR="004B28D4" w:rsidRPr="00EA7926">
        <w:rPr>
          <w:rFonts w:ascii="Times New Roman" w:hAnsi="Times New Roman"/>
          <w:color w:val="000000"/>
          <w:sz w:val="24"/>
        </w:rPr>
        <w:t xml:space="preserve">. </w:t>
      </w:r>
      <w:r w:rsidR="004B28D4" w:rsidRPr="00EA7926">
        <w:rPr>
          <w:rFonts w:ascii="Times New Roman" w:hAnsi="Times New Roman"/>
          <w:sz w:val="24"/>
        </w:rPr>
        <w:t xml:space="preserve">Тие ги опфаќаат измените на </w:t>
      </w:r>
      <w:r w:rsidR="004D451D">
        <w:rPr>
          <w:rFonts w:ascii="Times New Roman" w:hAnsi="Times New Roman"/>
          <w:b/>
          <w:sz w:val="24"/>
        </w:rPr>
        <w:t>Д</w:t>
      </w:r>
      <w:r w:rsidR="004B28D4" w:rsidRPr="00EA7926">
        <w:rPr>
          <w:rFonts w:ascii="Times New Roman" w:hAnsi="Times New Roman"/>
          <w:b/>
          <w:sz w:val="24"/>
        </w:rPr>
        <w:t>еловникот за работа</w:t>
      </w:r>
      <w:r w:rsidR="004B28D4" w:rsidRPr="00EA7926">
        <w:rPr>
          <w:rFonts w:ascii="Times New Roman" w:hAnsi="Times New Roman"/>
          <w:sz w:val="24"/>
        </w:rPr>
        <w:t xml:space="preserve">, на пример за конститутивната седница, зајакнат надзор врз Владата, </w:t>
      </w:r>
      <w:r w:rsidR="0005499E" w:rsidRPr="00EA7926">
        <w:rPr>
          <w:rFonts w:ascii="Times New Roman" w:hAnsi="Times New Roman"/>
          <w:sz w:val="24"/>
        </w:rPr>
        <w:t>јавните</w:t>
      </w:r>
      <w:r w:rsidR="004B28D4" w:rsidRPr="00EA7926">
        <w:rPr>
          <w:rFonts w:ascii="Times New Roman" w:hAnsi="Times New Roman"/>
          <w:sz w:val="24"/>
        </w:rPr>
        <w:t xml:space="preserve"> расправи, собранискиот календар и постапките за законите со „европско знаменце“.</w:t>
      </w:r>
      <w:r w:rsidR="004B28D4" w:rsidRPr="00EA7926">
        <w:rPr>
          <w:rFonts w:ascii="Times New Roman" w:hAnsi="Times New Roman"/>
          <w:color w:val="000000"/>
          <w:sz w:val="24"/>
        </w:rPr>
        <w:t xml:space="preserve"> Работната група за „Дијалогот Жан Моне“ свика средби во ноември и </w:t>
      </w:r>
      <w:r w:rsidR="00B9657C">
        <w:rPr>
          <w:rFonts w:ascii="Times New Roman" w:hAnsi="Times New Roman"/>
          <w:color w:val="000000"/>
          <w:sz w:val="24"/>
        </w:rPr>
        <w:t xml:space="preserve">во </w:t>
      </w:r>
      <w:r w:rsidR="004B28D4" w:rsidRPr="00EA7926">
        <w:rPr>
          <w:rFonts w:ascii="Times New Roman" w:hAnsi="Times New Roman"/>
          <w:color w:val="000000"/>
          <w:sz w:val="24"/>
        </w:rPr>
        <w:t xml:space="preserve">декември 2022 година и во јуни и </w:t>
      </w:r>
      <w:r w:rsidR="00B9657C">
        <w:rPr>
          <w:rFonts w:ascii="Times New Roman" w:hAnsi="Times New Roman"/>
          <w:color w:val="000000"/>
          <w:sz w:val="24"/>
        </w:rPr>
        <w:t xml:space="preserve">во </w:t>
      </w:r>
      <w:r w:rsidR="004B28D4" w:rsidRPr="00EA7926">
        <w:rPr>
          <w:rFonts w:ascii="Times New Roman" w:hAnsi="Times New Roman"/>
          <w:color w:val="000000"/>
          <w:sz w:val="24"/>
        </w:rPr>
        <w:t xml:space="preserve">септември 2023 година и се согласи за неколку аспекти од ревидирањето на законодавните постапки. Деловникот за работа треба да се донесе без натамошно одложување за да се подобри </w:t>
      </w:r>
      <w:r w:rsidR="00B9657C">
        <w:rPr>
          <w:rFonts w:ascii="Times New Roman" w:hAnsi="Times New Roman"/>
          <w:color w:val="000000"/>
          <w:sz w:val="24"/>
        </w:rPr>
        <w:t>работењето</w:t>
      </w:r>
      <w:r w:rsidR="00B9657C" w:rsidRPr="00EA7926">
        <w:rPr>
          <w:rFonts w:ascii="Times New Roman" w:hAnsi="Times New Roman"/>
          <w:color w:val="000000"/>
          <w:sz w:val="24"/>
        </w:rPr>
        <w:t xml:space="preserve"> </w:t>
      </w:r>
      <w:r w:rsidR="004B28D4" w:rsidRPr="00EA7926">
        <w:rPr>
          <w:rFonts w:ascii="Times New Roman" w:hAnsi="Times New Roman"/>
          <w:color w:val="000000"/>
          <w:sz w:val="24"/>
        </w:rPr>
        <w:t>на Собранието.</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Што се однесува до </w:t>
      </w:r>
      <w:r w:rsidRPr="00EA7926">
        <w:rPr>
          <w:rFonts w:ascii="Times New Roman" w:hAnsi="Times New Roman"/>
          <w:b/>
          <w:bCs/>
          <w:color w:val="000000"/>
          <w:sz w:val="24"/>
        </w:rPr>
        <w:t>заштитата на човекови права</w:t>
      </w:r>
      <w:r w:rsidRPr="00EA7926">
        <w:rPr>
          <w:rFonts w:ascii="Times New Roman" w:hAnsi="Times New Roman"/>
          <w:color w:val="000000"/>
          <w:sz w:val="24"/>
        </w:rPr>
        <w:t xml:space="preserve"> и </w:t>
      </w:r>
      <w:r w:rsidR="00794C13" w:rsidRPr="00794C13">
        <w:rPr>
          <w:rFonts w:ascii="Times New Roman" w:hAnsi="Times New Roman"/>
          <w:color w:val="000000"/>
          <w:sz w:val="24"/>
        </w:rPr>
        <w:t>фундаментални</w:t>
      </w:r>
      <w:r w:rsidRPr="00EA7926">
        <w:rPr>
          <w:rFonts w:ascii="Times New Roman" w:hAnsi="Times New Roman"/>
          <w:color w:val="000000"/>
          <w:sz w:val="24"/>
        </w:rPr>
        <w:t>те слободи, постојаниот комитет за надзор остана неактивен. Клубот на пратенички ја организираше првата пленарна сесија за родови прашања за да ја обележи својата 20-годишнина. Меѓупартиските парламентарни групи за млади, за ЛГБТИК, за лица со попреченост</w:t>
      </w:r>
      <w:r w:rsidR="004108F2">
        <w:rPr>
          <w:rFonts w:ascii="Times New Roman" w:hAnsi="Times New Roman"/>
          <w:color w:val="000000"/>
          <w:sz w:val="24"/>
        </w:rPr>
        <w:t>,</w:t>
      </w:r>
      <w:r w:rsidRPr="00EA7926">
        <w:rPr>
          <w:rFonts w:ascii="Times New Roman" w:hAnsi="Times New Roman"/>
          <w:color w:val="000000"/>
          <w:sz w:val="24"/>
        </w:rPr>
        <w:t xml:space="preserve"> за Ромите</w:t>
      </w:r>
      <w:r w:rsidRPr="00EA7926">
        <w:rPr>
          <w:rStyle w:val="FootnoteReference"/>
          <w:rFonts w:ascii="Times New Roman" w:hAnsi="Times New Roman"/>
          <w:color w:val="000000"/>
          <w:sz w:val="24"/>
          <w:szCs w:val="24"/>
        </w:rPr>
        <w:footnoteReference w:id="4"/>
      </w:r>
      <w:r w:rsidRPr="00EA7926">
        <w:rPr>
          <w:rFonts w:ascii="Times New Roman" w:hAnsi="Times New Roman"/>
          <w:color w:val="000000"/>
          <w:sz w:val="24"/>
        </w:rPr>
        <w:t xml:space="preserve"> и за животна средина спроведоа многубројни активности во тесна соработка со релевантните граѓански организации. Собранието и Владата се обврзаа приоритетно да ги започнат и </w:t>
      </w:r>
      <w:r w:rsidR="002A5E68">
        <w:rPr>
          <w:rFonts w:ascii="Times New Roman" w:hAnsi="Times New Roman"/>
          <w:color w:val="000000"/>
          <w:sz w:val="24"/>
        </w:rPr>
        <w:t xml:space="preserve">да ги </w:t>
      </w:r>
      <w:r w:rsidRPr="00EA7926">
        <w:rPr>
          <w:rFonts w:ascii="Times New Roman" w:hAnsi="Times New Roman"/>
          <w:color w:val="000000"/>
          <w:sz w:val="24"/>
        </w:rPr>
        <w:t xml:space="preserve">постигнат релевантните уставни измени, со цел во Уставот да се </w:t>
      </w:r>
      <w:r w:rsidR="0005499E" w:rsidRPr="00EA7926">
        <w:rPr>
          <w:rFonts w:ascii="Times New Roman" w:hAnsi="Times New Roman"/>
          <w:color w:val="000000"/>
          <w:sz w:val="24"/>
        </w:rPr>
        <w:t xml:space="preserve">вклучат </w:t>
      </w:r>
      <w:r w:rsidRPr="00EA7926">
        <w:rPr>
          <w:rFonts w:ascii="Times New Roman" w:hAnsi="Times New Roman"/>
          <w:color w:val="000000"/>
          <w:sz w:val="24"/>
        </w:rPr>
        <w:t>граѓаните што живеат во границите на државата.</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Во април 2023 година</w:t>
      </w:r>
      <w:r w:rsidR="00363C5F">
        <w:rPr>
          <w:rFonts w:ascii="Times New Roman" w:hAnsi="Times New Roman"/>
          <w:color w:val="000000"/>
          <w:sz w:val="24"/>
        </w:rPr>
        <w:t xml:space="preserve"> е</w:t>
      </w:r>
      <w:r w:rsidRPr="00EA7926">
        <w:rPr>
          <w:rFonts w:ascii="Times New Roman" w:hAnsi="Times New Roman"/>
          <w:color w:val="000000"/>
          <w:sz w:val="24"/>
        </w:rPr>
        <w:t xml:space="preserve"> </w:t>
      </w:r>
      <w:r w:rsidR="0005499E" w:rsidRPr="00EA7926">
        <w:rPr>
          <w:rFonts w:ascii="Times New Roman" w:hAnsi="Times New Roman"/>
          <w:color w:val="000000"/>
          <w:sz w:val="24"/>
        </w:rPr>
        <w:t xml:space="preserve">формирана </w:t>
      </w:r>
      <w:r w:rsidRPr="00EA7926">
        <w:rPr>
          <w:rFonts w:ascii="Times New Roman" w:hAnsi="Times New Roman"/>
          <w:color w:val="000000"/>
          <w:sz w:val="24"/>
        </w:rPr>
        <w:t xml:space="preserve">работна група </w:t>
      </w:r>
      <w:r w:rsidR="0005499E" w:rsidRPr="00EA7926">
        <w:rPr>
          <w:rFonts w:ascii="Times New Roman" w:hAnsi="Times New Roman"/>
          <w:color w:val="000000"/>
          <w:sz w:val="24"/>
        </w:rPr>
        <w:t>со обврска</w:t>
      </w:r>
      <w:r w:rsidRPr="00EA7926">
        <w:rPr>
          <w:rFonts w:ascii="Times New Roman" w:hAnsi="Times New Roman"/>
          <w:color w:val="000000"/>
          <w:sz w:val="24"/>
        </w:rPr>
        <w:t xml:space="preserve"> да ги подготви </w:t>
      </w:r>
      <w:r w:rsidRPr="00EA7926">
        <w:rPr>
          <w:rFonts w:ascii="Times New Roman" w:hAnsi="Times New Roman"/>
          <w:b/>
          <w:bCs/>
          <w:color w:val="000000"/>
          <w:sz w:val="24"/>
        </w:rPr>
        <w:t>уставните измени</w:t>
      </w:r>
      <w:r w:rsidRPr="00EA7926">
        <w:rPr>
          <w:rFonts w:ascii="Times New Roman" w:hAnsi="Times New Roman"/>
          <w:color w:val="000000"/>
          <w:sz w:val="24"/>
        </w:rPr>
        <w:t xml:space="preserve">. </w:t>
      </w:r>
      <w:r w:rsidR="0005499E" w:rsidRPr="00EA7926">
        <w:rPr>
          <w:rFonts w:ascii="Times New Roman" w:hAnsi="Times New Roman"/>
          <w:color w:val="000000"/>
          <w:sz w:val="24"/>
        </w:rPr>
        <w:t>С</w:t>
      </w:r>
      <w:r w:rsidRPr="00EA7926">
        <w:rPr>
          <w:rFonts w:ascii="Times New Roman" w:hAnsi="Times New Roman"/>
          <w:color w:val="000000"/>
          <w:sz w:val="24"/>
        </w:rPr>
        <w:t xml:space="preserve">оставена </w:t>
      </w:r>
      <w:r w:rsidR="0005499E" w:rsidRPr="00EA7926">
        <w:rPr>
          <w:rFonts w:ascii="Times New Roman" w:hAnsi="Times New Roman"/>
          <w:color w:val="000000"/>
          <w:sz w:val="24"/>
        </w:rPr>
        <w:t xml:space="preserve">е </w:t>
      </w:r>
      <w:r w:rsidRPr="00EA7926">
        <w:rPr>
          <w:rFonts w:ascii="Times New Roman" w:hAnsi="Times New Roman"/>
          <w:color w:val="000000"/>
          <w:sz w:val="24"/>
        </w:rPr>
        <w:t xml:space="preserve">од 23 претставници од различни политички партии, вклучително и четворица пратеници и експерти. Партиите од опозицијата, вклучително и ВМРО-ДПМНЕ и Левица, не </w:t>
      </w:r>
      <w:r w:rsidR="00C731A4">
        <w:rPr>
          <w:rFonts w:ascii="Times New Roman" w:hAnsi="Times New Roman"/>
          <w:color w:val="000000"/>
          <w:sz w:val="24"/>
        </w:rPr>
        <w:t>назначија</w:t>
      </w:r>
      <w:r w:rsidR="00C731A4" w:rsidRPr="00EA7926">
        <w:rPr>
          <w:rFonts w:ascii="Times New Roman" w:hAnsi="Times New Roman"/>
          <w:color w:val="000000"/>
          <w:sz w:val="24"/>
        </w:rPr>
        <w:t xml:space="preserve"> </w:t>
      </w:r>
      <w:r w:rsidRPr="00EA7926">
        <w:rPr>
          <w:rFonts w:ascii="Times New Roman" w:hAnsi="Times New Roman"/>
          <w:color w:val="000000"/>
          <w:sz w:val="24"/>
        </w:rPr>
        <w:t>претставници. Работната група едногласно одобри и поднесе нацрт-иницијатива</w:t>
      </w:r>
      <w:r w:rsidR="00D14E3C">
        <w:rPr>
          <w:rFonts w:ascii="Times New Roman" w:hAnsi="Times New Roman"/>
          <w:color w:val="000000"/>
          <w:sz w:val="24"/>
        </w:rPr>
        <w:t>,</w:t>
      </w:r>
      <w:r w:rsidRPr="00EA7926">
        <w:rPr>
          <w:rFonts w:ascii="Times New Roman" w:hAnsi="Times New Roman"/>
          <w:color w:val="000000"/>
          <w:sz w:val="24"/>
        </w:rPr>
        <w:t xml:space="preserve"> со што ги предложи измените до Владата во мај 2023 година. На 18 јули </w:t>
      </w:r>
      <w:r w:rsidR="002E5D1F">
        <w:rPr>
          <w:rFonts w:ascii="Times New Roman" w:hAnsi="Times New Roman"/>
          <w:color w:val="000000"/>
          <w:sz w:val="24"/>
        </w:rPr>
        <w:t>В</w:t>
      </w:r>
      <w:r w:rsidRPr="00EA7926">
        <w:rPr>
          <w:rFonts w:ascii="Times New Roman" w:hAnsi="Times New Roman"/>
          <w:color w:val="000000"/>
          <w:sz w:val="24"/>
        </w:rPr>
        <w:t xml:space="preserve">ладата ја донесе иницијативата за уставни измени, која беше поднесена до Собранието. Нацртот предвидува вклучување уште шест заедници во преамбулата и во два члена на Уставот, а тоа се бугарскиот народ, хрватскиот народ, црногорскиот народ, словенечкиот народ, еврејскиот народ и египетскиот народ. На 18 август се одржа пленарна седница за усвојување на иницијативата за измена на Уставот, но беше ставена </w:t>
      </w:r>
      <w:r w:rsidR="0005499E" w:rsidRPr="00EA7926">
        <w:rPr>
          <w:rFonts w:ascii="Times New Roman" w:hAnsi="Times New Roman"/>
          <w:color w:val="000000"/>
          <w:sz w:val="24"/>
        </w:rPr>
        <w:t>во мирување</w:t>
      </w:r>
      <w:r w:rsidRPr="00EA7926">
        <w:rPr>
          <w:rFonts w:ascii="Times New Roman" w:hAnsi="Times New Roman"/>
          <w:color w:val="000000"/>
          <w:sz w:val="24"/>
        </w:rPr>
        <w:t xml:space="preserve"> бидејќи не можеше да се обезбеди потребното двотретинско мнозинство гласови.</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Во мај Врховниот суд го одби барањето за повторно судење на осудените за упадот во Собранието на 27 април 2017 година. Судот го одби, како неосновано, барањето за вонредно преиспитување на пресудите на Кривичниот и </w:t>
      </w:r>
      <w:r w:rsidR="002722A9">
        <w:rPr>
          <w:rFonts w:ascii="Times New Roman" w:hAnsi="Times New Roman"/>
          <w:color w:val="000000"/>
          <w:sz w:val="24"/>
        </w:rPr>
        <w:t xml:space="preserve">на </w:t>
      </w:r>
      <w:r w:rsidRPr="00EA7926">
        <w:rPr>
          <w:rFonts w:ascii="Times New Roman" w:hAnsi="Times New Roman"/>
          <w:color w:val="000000"/>
          <w:sz w:val="24"/>
        </w:rPr>
        <w:t>Апелациониот суд.</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Потребни се активности за да се осигури транспарентност на </w:t>
      </w:r>
      <w:r w:rsidRPr="00EA7926">
        <w:rPr>
          <w:rFonts w:ascii="Times New Roman" w:hAnsi="Times New Roman"/>
          <w:b/>
          <w:bCs/>
          <w:color w:val="000000"/>
          <w:sz w:val="24"/>
        </w:rPr>
        <w:t>финансирањето на политичките партии</w:t>
      </w:r>
      <w:r w:rsidRPr="00EA7926">
        <w:rPr>
          <w:rFonts w:ascii="Times New Roman" w:hAnsi="Times New Roman"/>
          <w:color w:val="000000"/>
          <w:sz w:val="24"/>
        </w:rPr>
        <w:t xml:space="preserve">. Активностите треба да вклучуваат и постапување по препораките дадени од </w:t>
      </w:r>
      <w:r w:rsidR="00D96768">
        <w:rPr>
          <w:rFonts w:ascii="Times New Roman" w:hAnsi="Times New Roman"/>
          <w:color w:val="000000"/>
          <w:sz w:val="24"/>
        </w:rPr>
        <w:t>Г</w:t>
      </w:r>
      <w:r w:rsidRPr="00EA7926">
        <w:rPr>
          <w:rFonts w:ascii="Times New Roman" w:hAnsi="Times New Roman"/>
          <w:color w:val="000000"/>
          <w:sz w:val="24"/>
        </w:rPr>
        <w:t>рупата држави против корупција (ГРЕКО). (</w:t>
      </w:r>
      <w:r w:rsidRPr="00EA7926">
        <w:rPr>
          <w:rFonts w:ascii="Times New Roman" w:hAnsi="Times New Roman"/>
          <w:i/>
          <w:iCs/>
          <w:color w:val="000000"/>
          <w:sz w:val="24"/>
        </w:rPr>
        <w:t>Вид</w:t>
      </w:r>
      <w:r w:rsidR="0005499E" w:rsidRPr="00EA7926">
        <w:rPr>
          <w:rFonts w:ascii="Times New Roman" w:hAnsi="Times New Roman"/>
          <w:i/>
          <w:iCs/>
          <w:color w:val="000000"/>
          <w:sz w:val="24"/>
        </w:rPr>
        <w:t>ете</w:t>
      </w:r>
      <w:r w:rsidRPr="00EA7926">
        <w:rPr>
          <w:rFonts w:ascii="Times New Roman" w:hAnsi="Times New Roman"/>
          <w:i/>
          <w:iCs/>
          <w:color w:val="000000"/>
          <w:sz w:val="24"/>
        </w:rPr>
        <w:t xml:space="preserve"> Поглавје 23 – Правосудство и фундаментални права</w:t>
      </w:r>
      <w:r w:rsidRPr="00EA7926">
        <w:rPr>
          <w:rFonts w:ascii="Times New Roman" w:hAnsi="Times New Roman"/>
          <w:color w:val="000000"/>
          <w:sz w:val="24"/>
        </w:rPr>
        <w:t>.)</w:t>
      </w:r>
      <w:r w:rsidRPr="00EA7926">
        <w:rPr>
          <w:rFonts w:ascii="Times New Roman" w:hAnsi="Times New Roman"/>
          <w:i/>
          <w:color w:val="000000"/>
          <w:sz w:val="24"/>
        </w:rPr>
        <w:t xml:space="preserve"> </w:t>
      </w:r>
      <w:r w:rsidRPr="00EA7926">
        <w:rPr>
          <w:rFonts w:ascii="Times New Roman" w:hAnsi="Times New Roman"/>
          <w:color w:val="000000"/>
          <w:sz w:val="24"/>
        </w:rPr>
        <w:t xml:space="preserve">Политичките партии треба да ги подобрат </w:t>
      </w:r>
      <w:r w:rsidR="004A5AD0">
        <w:rPr>
          <w:rFonts w:ascii="Times New Roman" w:hAnsi="Times New Roman"/>
          <w:color w:val="000000"/>
          <w:sz w:val="24"/>
        </w:rPr>
        <w:t>своите</w:t>
      </w:r>
      <w:r w:rsidR="004A5AD0" w:rsidRPr="00EA7926">
        <w:rPr>
          <w:rFonts w:ascii="Times New Roman" w:hAnsi="Times New Roman"/>
          <w:color w:val="000000"/>
          <w:sz w:val="24"/>
        </w:rPr>
        <w:t xml:space="preserve"> </w:t>
      </w:r>
      <w:r w:rsidRPr="00EA7926">
        <w:rPr>
          <w:rFonts w:ascii="Times New Roman" w:hAnsi="Times New Roman"/>
          <w:color w:val="000000"/>
          <w:sz w:val="24"/>
        </w:rPr>
        <w:t>внатрешни демократски процеси, вклучително и транспарентноста на изборите на партиски</w:t>
      </w:r>
      <w:r w:rsidR="0005499E" w:rsidRPr="00EA7926">
        <w:rPr>
          <w:rFonts w:ascii="Times New Roman" w:hAnsi="Times New Roman"/>
          <w:color w:val="000000"/>
          <w:sz w:val="24"/>
        </w:rPr>
        <w:t>те</w:t>
      </w:r>
      <w:r w:rsidRPr="00EA7926">
        <w:rPr>
          <w:rFonts w:ascii="Times New Roman" w:hAnsi="Times New Roman"/>
          <w:color w:val="000000"/>
          <w:sz w:val="24"/>
        </w:rPr>
        <w:t xml:space="preserve"> тела.</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b/>
          <w:color w:val="000000"/>
          <w:sz w:val="24"/>
        </w:rPr>
        <w:t>Владеење</w:t>
      </w:r>
    </w:p>
    <w:p w:rsidR="004B28D4" w:rsidRPr="00EA7926" w:rsidRDefault="004B28D4" w:rsidP="004B28D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Од првата политичка </w:t>
      </w:r>
      <w:r w:rsidR="00F469AE">
        <w:rPr>
          <w:rFonts w:ascii="Times New Roman" w:hAnsi="Times New Roman"/>
          <w:color w:val="000000"/>
          <w:sz w:val="24"/>
        </w:rPr>
        <w:t>М</w:t>
      </w:r>
      <w:r w:rsidRPr="00EA7926">
        <w:rPr>
          <w:rFonts w:ascii="Times New Roman" w:hAnsi="Times New Roman"/>
          <w:color w:val="000000"/>
          <w:sz w:val="24"/>
        </w:rPr>
        <w:t>еѓувладина конференција со која се отворија пристапните преговори на Северна Македонија со ЕУ во јули 2022 година, институциите мобилизираа значителни ресурси за да се вклучат</w:t>
      </w:r>
      <w:r w:rsidR="00BE450C">
        <w:rPr>
          <w:rFonts w:ascii="Times New Roman" w:hAnsi="Times New Roman"/>
          <w:color w:val="000000"/>
          <w:sz w:val="24"/>
        </w:rPr>
        <w:t xml:space="preserve"> </w:t>
      </w:r>
      <w:r w:rsidR="00BE450C" w:rsidRPr="00EA7926">
        <w:rPr>
          <w:rFonts w:ascii="Times New Roman" w:hAnsi="Times New Roman"/>
          <w:color w:val="000000"/>
          <w:sz w:val="24"/>
        </w:rPr>
        <w:t>активно</w:t>
      </w:r>
      <w:r w:rsidRPr="00EA7926">
        <w:rPr>
          <w:rFonts w:ascii="Times New Roman" w:hAnsi="Times New Roman"/>
          <w:color w:val="000000"/>
          <w:sz w:val="24"/>
        </w:rPr>
        <w:t xml:space="preserve"> во скринингот, кој напредува беспрекорно. Владата, исто така, ги зголеми своите напори за да им ги пренесе </w:t>
      </w:r>
      <w:r w:rsidR="008B0FC0" w:rsidRPr="00EA7926">
        <w:rPr>
          <w:rFonts w:ascii="Times New Roman" w:hAnsi="Times New Roman"/>
          <w:color w:val="000000"/>
          <w:sz w:val="24"/>
        </w:rPr>
        <w:t xml:space="preserve">на граѓаните </w:t>
      </w:r>
      <w:r w:rsidRPr="00EA7926">
        <w:rPr>
          <w:rFonts w:ascii="Times New Roman" w:hAnsi="Times New Roman"/>
          <w:color w:val="000000"/>
          <w:sz w:val="24"/>
        </w:rPr>
        <w:t xml:space="preserve">практичните придобивки од пристапувањето кон ЕУ. Владата треба да ја засили својата работа за да ја унапреди реформската агенда на ЕУ. Потребни се постојани и решителни чекори за забрзување на </w:t>
      </w:r>
      <w:r w:rsidR="00951662">
        <w:rPr>
          <w:rFonts w:ascii="Times New Roman" w:hAnsi="Times New Roman"/>
          <w:color w:val="000000"/>
          <w:sz w:val="24"/>
        </w:rPr>
        <w:t>ЕУ-</w:t>
      </w:r>
      <w:r w:rsidRPr="00EA7926">
        <w:rPr>
          <w:rFonts w:ascii="Times New Roman" w:hAnsi="Times New Roman"/>
          <w:color w:val="000000"/>
          <w:sz w:val="24"/>
        </w:rPr>
        <w:t xml:space="preserve">реформите и движење напред во процесот на пристапните преговори со ЕУ. Меѓупартиската соработка останува од суштинско значење во оваа насока. </w:t>
      </w:r>
      <w:r w:rsidR="006143CA">
        <w:rPr>
          <w:rFonts w:ascii="Times New Roman" w:hAnsi="Times New Roman"/>
          <w:color w:val="000000"/>
          <w:sz w:val="24"/>
        </w:rPr>
        <w:t>Органите</w:t>
      </w:r>
      <w:r w:rsidR="006143CA" w:rsidRPr="00EA7926">
        <w:rPr>
          <w:rFonts w:ascii="Times New Roman" w:hAnsi="Times New Roman"/>
          <w:color w:val="000000"/>
          <w:sz w:val="24"/>
        </w:rPr>
        <w:t xml:space="preserve"> </w:t>
      </w:r>
      <w:r w:rsidRPr="00EA7926">
        <w:rPr>
          <w:rFonts w:ascii="Times New Roman" w:hAnsi="Times New Roman"/>
          <w:color w:val="000000"/>
          <w:sz w:val="24"/>
        </w:rPr>
        <w:t xml:space="preserve">треба да се воздржат од носење </w:t>
      </w:r>
      <w:r w:rsidRPr="00EA7926">
        <w:rPr>
          <w:rFonts w:ascii="Times New Roman" w:hAnsi="Times New Roman"/>
          <w:i/>
          <w:iCs/>
          <w:color w:val="000000"/>
          <w:sz w:val="24"/>
        </w:rPr>
        <w:t>ад хок</w:t>
      </w:r>
      <w:r w:rsidRPr="00EA7926">
        <w:rPr>
          <w:rFonts w:ascii="Times New Roman" w:hAnsi="Times New Roman"/>
          <w:color w:val="000000"/>
          <w:sz w:val="24"/>
        </w:rPr>
        <w:t xml:space="preserve"> мерки што не се во согласност со </w:t>
      </w:r>
      <w:r w:rsidRPr="00EA7926">
        <w:rPr>
          <w:rFonts w:ascii="Times New Roman" w:hAnsi="Times New Roman"/>
          <w:i/>
          <w:iCs/>
          <w:color w:val="000000"/>
          <w:sz w:val="24"/>
        </w:rPr>
        <w:t>правото</w:t>
      </w:r>
      <w:r w:rsidRPr="00EA7926">
        <w:rPr>
          <w:rFonts w:ascii="Times New Roman" w:hAnsi="Times New Roman"/>
          <w:color w:val="000000"/>
          <w:sz w:val="24"/>
        </w:rPr>
        <w:t xml:space="preserve"> на ЕУ и </w:t>
      </w:r>
      <w:r w:rsidR="000C4813">
        <w:rPr>
          <w:rFonts w:ascii="Times New Roman" w:hAnsi="Times New Roman"/>
          <w:color w:val="000000"/>
          <w:sz w:val="24"/>
        </w:rPr>
        <w:t xml:space="preserve">со </w:t>
      </w:r>
      <w:r w:rsidRPr="00EA7926">
        <w:rPr>
          <w:rFonts w:ascii="Times New Roman" w:hAnsi="Times New Roman"/>
          <w:color w:val="000000"/>
          <w:sz w:val="24"/>
        </w:rPr>
        <w:t>европските стандарди. Меѓуетничките односи останаа стабилни и продолжи да се спроведува Охридскиот рамковен договор.</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szCs w:val="24"/>
        </w:rPr>
        <w:t>Во март 2023 година</w:t>
      </w:r>
      <w:r w:rsidR="0005499E" w:rsidRPr="00EA7926">
        <w:rPr>
          <w:rFonts w:ascii="Times New Roman" w:hAnsi="Times New Roman"/>
          <w:color w:val="000000"/>
          <w:sz w:val="24"/>
          <w:szCs w:val="24"/>
        </w:rPr>
        <w:t>,</w:t>
      </w:r>
      <w:r w:rsidRPr="00EA7926">
        <w:rPr>
          <w:rFonts w:ascii="Times New Roman" w:hAnsi="Times New Roman"/>
          <w:color w:val="000000"/>
          <w:sz w:val="24"/>
          <w:szCs w:val="24"/>
        </w:rPr>
        <w:t xml:space="preserve"> 65 пратеници од вкупно 120 го поддржаа формирањето нова владина коалиција. </w:t>
      </w:r>
      <w:r w:rsidRPr="00A34C3A">
        <w:rPr>
          <w:rFonts w:ascii="Times New Roman" w:hAnsi="Times New Roman"/>
          <w:color w:val="000000"/>
          <w:sz w:val="24"/>
          <w:szCs w:val="24"/>
        </w:rPr>
        <w:t>Владејачката коалиција сега се состои од СДСМ</w:t>
      </w:r>
      <w:r w:rsidRPr="00EA7926">
        <w:rPr>
          <w:rStyle w:val="FootnoteReference"/>
          <w:rFonts w:ascii="Times New Roman" w:hAnsi="Times New Roman"/>
          <w:color w:val="000000"/>
          <w:sz w:val="24"/>
          <w:szCs w:val="24"/>
        </w:rPr>
        <w:footnoteReference w:id="5"/>
      </w:r>
      <w:r w:rsidRPr="00EA7926">
        <w:rPr>
          <w:rFonts w:ascii="Times New Roman" w:hAnsi="Times New Roman"/>
          <w:color w:val="000000"/>
          <w:sz w:val="24"/>
          <w:szCs w:val="24"/>
        </w:rPr>
        <w:t>,</w:t>
      </w:r>
      <w:r w:rsidRPr="00A34C3A">
        <w:rPr>
          <w:rFonts w:ascii="Times New Roman" w:hAnsi="Times New Roman"/>
          <w:color w:val="000000"/>
          <w:sz w:val="24"/>
          <w:szCs w:val="24"/>
        </w:rPr>
        <w:t xml:space="preserve"> </w:t>
      </w:r>
      <w:r w:rsidRPr="00EA7926">
        <w:rPr>
          <w:rFonts w:ascii="Times New Roman" w:hAnsi="Times New Roman"/>
          <w:color w:val="000000"/>
          <w:sz w:val="24"/>
          <w:szCs w:val="24"/>
        </w:rPr>
        <w:t>ДУИ</w:t>
      </w:r>
      <w:r w:rsidRPr="00EA7926">
        <w:rPr>
          <w:rStyle w:val="FootnoteReference"/>
          <w:rFonts w:ascii="Times New Roman" w:hAnsi="Times New Roman"/>
          <w:color w:val="000000"/>
          <w:sz w:val="24"/>
          <w:szCs w:val="24"/>
        </w:rPr>
        <w:footnoteReference w:id="6"/>
      </w:r>
      <w:r w:rsidRPr="00EA7926">
        <w:rPr>
          <w:rFonts w:ascii="Times New Roman" w:hAnsi="Times New Roman"/>
          <w:color w:val="000000"/>
          <w:sz w:val="24"/>
          <w:szCs w:val="24"/>
        </w:rPr>
        <w:t xml:space="preserve"> и Алијанса за Албанците и ја поддржуваат неколку помали политички партии. Во Владата, 25</w:t>
      </w:r>
      <w:r w:rsidR="00C741E2">
        <w:rPr>
          <w:rFonts w:ascii="Times New Roman" w:hAnsi="Times New Roman"/>
          <w:color w:val="000000"/>
          <w:sz w:val="24"/>
          <w:szCs w:val="24"/>
        </w:rPr>
        <w:t xml:space="preserve"> </w:t>
      </w:r>
      <w:r w:rsidRPr="00EA7926">
        <w:rPr>
          <w:rFonts w:ascii="Times New Roman" w:hAnsi="Times New Roman"/>
          <w:color w:val="000000"/>
          <w:sz w:val="24"/>
          <w:szCs w:val="24"/>
        </w:rPr>
        <w:t>% од министрите, 31</w:t>
      </w:r>
      <w:r w:rsidR="00C741E2">
        <w:rPr>
          <w:rFonts w:ascii="Times New Roman" w:hAnsi="Times New Roman"/>
          <w:color w:val="000000"/>
          <w:sz w:val="24"/>
          <w:szCs w:val="24"/>
        </w:rPr>
        <w:t xml:space="preserve"> </w:t>
      </w:r>
      <w:r w:rsidRPr="00EA7926">
        <w:rPr>
          <w:rFonts w:ascii="Times New Roman" w:hAnsi="Times New Roman"/>
          <w:color w:val="000000"/>
          <w:sz w:val="24"/>
          <w:szCs w:val="24"/>
        </w:rPr>
        <w:t>% од замениците</w:t>
      </w:r>
      <w:r w:rsidR="00C741E2">
        <w:rPr>
          <w:rFonts w:ascii="Times New Roman" w:hAnsi="Times New Roman"/>
          <w:color w:val="000000"/>
          <w:sz w:val="24"/>
          <w:szCs w:val="24"/>
        </w:rPr>
        <w:t xml:space="preserve"> </w:t>
      </w:r>
      <w:r w:rsidRPr="00EA7926">
        <w:rPr>
          <w:rFonts w:ascii="Times New Roman" w:hAnsi="Times New Roman"/>
          <w:color w:val="000000"/>
          <w:sz w:val="24"/>
          <w:szCs w:val="24"/>
        </w:rPr>
        <w:t>министри и 29</w:t>
      </w:r>
      <w:r w:rsidR="00C741E2">
        <w:rPr>
          <w:rFonts w:ascii="Times New Roman" w:hAnsi="Times New Roman"/>
          <w:color w:val="000000"/>
          <w:sz w:val="24"/>
          <w:szCs w:val="24"/>
        </w:rPr>
        <w:t xml:space="preserve"> </w:t>
      </w:r>
      <w:r w:rsidRPr="00EA7926">
        <w:rPr>
          <w:rFonts w:ascii="Times New Roman" w:hAnsi="Times New Roman"/>
          <w:color w:val="000000"/>
          <w:sz w:val="24"/>
          <w:szCs w:val="24"/>
        </w:rPr>
        <w:t>% од државните секретари се жени. На 15</w:t>
      </w:r>
      <w:r w:rsidR="00C741E2">
        <w:rPr>
          <w:rFonts w:ascii="Times New Roman" w:hAnsi="Times New Roman"/>
          <w:color w:val="000000"/>
          <w:sz w:val="24"/>
          <w:szCs w:val="24"/>
        </w:rPr>
        <w:t xml:space="preserve"> </w:t>
      </w:r>
      <w:r w:rsidRPr="00EA7926">
        <w:rPr>
          <w:rFonts w:ascii="Times New Roman" w:hAnsi="Times New Roman"/>
          <w:color w:val="000000"/>
          <w:sz w:val="24"/>
          <w:szCs w:val="24"/>
        </w:rPr>
        <w:t>% од извршните позиции во различни владини тела и агенции се наоѓаат жени.</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По </w:t>
      </w:r>
      <w:r w:rsidR="004108F2">
        <w:rPr>
          <w:rFonts w:ascii="Times New Roman" w:hAnsi="Times New Roman"/>
          <w:color w:val="000000"/>
          <w:sz w:val="24"/>
        </w:rPr>
        <w:t>прегрупирањето</w:t>
      </w:r>
      <w:r w:rsidRPr="00EA7926">
        <w:rPr>
          <w:rFonts w:ascii="Times New Roman" w:hAnsi="Times New Roman"/>
          <w:color w:val="000000"/>
          <w:sz w:val="24"/>
        </w:rPr>
        <w:t xml:space="preserve">, клучните приоритети на владината програма за 2022-2024 останаа непроменети. Тие вклучуваат значителен економски раст, социјална инклузија и развој на човечкиот капитал, владеење на правото и добро владеење, унапредување на демократијата и </w:t>
      </w:r>
      <w:r w:rsidR="0089059D">
        <w:rPr>
          <w:rFonts w:ascii="Times New Roman" w:hAnsi="Times New Roman"/>
          <w:color w:val="000000"/>
          <w:sz w:val="24"/>
        </w:rPr>
        <w:t xml:space="preserve">на </w:t>
      </w:r>
      <w:r w:rsidRPr="00EA7926">
        <w:rPr>
          <w:rFonts w:ascii="Times New Roman" w:hAnsi="Times New Roman"/>
          <w:color w:val="000000"/>
          <w:sz w:val="24"/>
        </w:rPr>
        <w:t xml:space="preserve">слободата, како и </w:t>
      </w:r>
      <w:r w:rsidR="001D0C5E">
        <w:rPr>
          <w:rFonts w:ascii="Times New Roman" w:hAnsi="Times New Roman"/>
          <w:color w:val="000000"/>
          <w:sz w:val="24"/>
        </w:rPr>
        <w:t xml:space="preserve">интеграцијата во </w:t>
      </w:r>
      <w:r w:rsidRPr="00EA7926">
        <w:rPr>
          <w:rFonts w:ascii="Times New Roman" w:hAnsi="Times New Roman"/>
          <w:color w:val="000000"/>
          <w:sz w:val="24"/>
        </w:rPr>
        <w:t xml:space="preserve">НАТО и </w:t>
      </w:r>
      <w:r w:rsidR="001D0C5E">
        <w:rPr>
          <w:rFonts w:ascii="Times New Roman" w:hAnsi="Times New Roman"/>
          <w:color w:val="000000"/>
          <w:sz w:val="24"/>
        </w:rPr>
        <w:t xml:space="preserve">во </w:t>
      </w:r>
      <w:r w:rsidRPr="00EA7926">
        <w:rPr>
          <w:rFonts w:ascii="Times New Roman" w:hAnsi="Times New Roman"/>
          <w:color w:val="000000"/>
          <w:sz w:val="24"/>
        </w:rPr>
        <w:t>ЕУ.</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Како дел од процесот за пристапни преговори со ЕУ, релевантните национални претставници, координирани од главниот преговарач, активно учествуваа на состаноците од скринингот </w:t>
      </w:r>
      <w:r w:rsidR="0006499A">
        <w:rPr>
          <w:rFonts w:ascii="Times New Roman" w:hAnsi="Times New Roman"/>
          <w:color w:val="000000"/>
          <w:sz w:val="24"/>
        </w:rPr>
        <w:t>што</w:t>
      </w:r>
      <w:r w:rsidRPr="00EA7926">
        <w:rPr>
          <w:rFonts w:ascii="Times New Roman" w:hAnsi="Times New Roman"/>
          <w:color w:val="000000"/>
          <w:sz w:val="24"/>
        </w:rPr>
        <w:t xml:space="preserve"> </w:t>
      </w:r>
      <w:r w:rsidR="00936EE9">
        <w:rPr>
          <w:rFonts w:ascii="Times New Roman" w:hAnsi="Times New Roman"/>
          <w:color w:val="000000"/>
          <w:sz w:val="24"/>
        </w:rPr>
        <w:t>ги организираше</w:t>
      </w:r>
      <w:r w:rsidRPr="00EA7926">
        <w:rPr>
          <w:rFonts w:ascii="Times New Roman" w:hAnsi="Times New Roman"/>
          <w:color w:val="000000"/>
          <w:sz w:val="24"/>
        </w:rPr>
        <w:t xml:space="preserve"> Комисијата, а почнаа во јули 2022 година. Надоврзувајќи се на искуството на процесот на скринингот, Северна Македонија треба да продолжи да ги засилува своите </w:t>
      </w:r>
      <w:r w:rsidRPr="00EA7926">
        <w:rPr>
          <w:rFonts w:ascii="Times New Roman" w:hAnsi="Times New Roman"/>
          <w:b/>
          <w:bCs/>
          <w:color w:val="000000"/>
          <w:sz w:val="24"/>
        </w:rPr>
        <w:t>преговарачки структури со ЕУ</w:t>
      </w:r>
      <w:r w:rsidRPr="00EA7926">
        <w:rPr>
          <w:rFonts w:ascii="Times New Roman" w:hAnsi="Times New Roman"/>
          <w:color w:val="000000"/>
          <w:sz w:val="24"/>
        </w:rPr>
        <w:t xml:space="preserve"> и да постигне добра координација меѓу ресорните министерства и институции</w:t>
      </w:r>
      <w:r w:rsidR="00510023" w:rsidRPr="00EA7926">
        <w:rPr>
          <w:rFonts w:ascii="Times New Roman" w:hAnsi="Times New Roman"/>
          <w:color w:val="000000"/>
          <w:sz w:val="24"/>
        </w:rPr>
        <w:t>те</w:t>
      </w:r>
      <w:r w:rsidRPr="00EA7926">
        <w:rPr>
          <w:rFonts w:ascii="Times New Roman" w:hAnsi="Times New Roman"/>
          <w:color w:val="000000"/>
          <w:sz w:val="24"/>
        </w:rPr>
        <w:t xml:space="preserve"> со понатамошен развој на стручноста во однос на </w:t>
      </w:r>
      <w:r w:rsidRPr="00E256EB">
        <w:rPr>
          <w:rFonts w:ascii="Times New Roman" w:hAnsi="Times New Roman"/>
          <w:color w:val="000000"/>
          <w:sz w:val="24"/>
        </w:rPr>
        <w:t>правото</w:t>
      </w:r>
      <w:r w:rsidR="00510023" w:rsidRPr="00EA7926">
        <w:rPr>
          <w:rFonts w:ascii="Times New Roman" w:hAnsi="Times New Roman"/>
          <w:color w:val="000000"/>
          <w:sz w:val="24"/>
        </w:rPr>
        <w:t xml:space="preserve"> на ЕУ</w:t>
      </w:r>
      <w:r w:rsidRPr="00EA7926">
        <w:rPr>
          <w:rFonts w:ascii="Times New Roman" w:hAnsi="Times New Roman"/>
          <w:color w:val="000000"/>
          <w:sz w:val="24"/>
        </w:rPr>
        <w:t xml:space="preserve"> во јавната администрација.</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b/>
          <w:bCs/>
          <w:color w:val="000000"/>
          <w:sz w:val="24"/>
        </w:rPr>
        <w:t>Меѓуетничката ситуација</w:t>
      </w:r>
      <w:r w:rsidRPr="00EA7926">
        <w:rPr>
          <w:rFonts w:ascii="Times New Roman" w:hAnsi="Times New Roman"/>
          <w:color w:val="000000"/>
          <w:sz w:val="24"/>
        </w:rPr>
        <w:t xml:space="preserve"> главно остана мирна, со изолирани случаи на тензија за време на протестите во летото 2022 година против предлогот креиран за отстранување на пречките за отворање на пристапните преговори со ЕУ. Комитетот за односи меѓу заедниците продолжи да негува мултиетничка и мултикултурна димензија во општеството, особено преку организирање интеркултурни активности меѓу студентите. Охридскиот рамковен договор од 2001 година, кој го </w:t>
      </w:r>
      <w:r w:rsidR="00510023" w:rsidRPr="00EA7926">
        <w:rPr>
          <w:rFonts w:ascii="Times New Roman" w:hAnsi="Times New Roman"/>
          <w:color w:val="000000"/>
          <w:sz w:val="24"/>
        </w:rPr>
        <w:t xml:space="preserve">промовира </w:t>
      </w:r>
      <w:r w:rsidRPr="00EA7926">
        <w:rPr>
          <w:rFonts w:ascii="Times New Roman" w:hAnsi="Times New Roman"/>
          <w:color w:val="000000"/>
          <w:sz w:val="24"/>
        </w:rPr>
        <w:t>мултиетничкиот карактер на општеството, продолжи да се спроведува.</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Имаше ограничен напредок во однос на реформите на </w:t>
      </w:r>
      <w:r w:rsidRPr="00EA7926">
        <w:rPr>
          <w:rFonts w:ascii="Times New Roman" w:hAnsi="Times New Roman"/>
          <w:b/>
          <w:bCs/>
          <w:color w:val="000000"/>
          <w:sz w:val="24"/>
        </w:rPr>
        <w:t>локалната самоуправа</w:t>
      </w:r>
      <w:r w:rsidRPr="00EA7926">
        <w:rPr>
          <w:rFonts w:ascii="Times New Roman" w:hAnsi="Times New Roman"/>
          <w:color w:val="000000"/>
          <w:sz w:val="24"/>
        </w:rPr>
        <w:t>, главно поврзан со фискалната децентрализација. Меѓутоа, општините сè уште не ги почувствуваа фискалните придобивки од минатогодишната измена на Законот за финансирање на единиците за локална самоуправа. Владата треба итно да ја подобри нормативната и финансиската рамка во согласност со програмата 2021-2026 за одржлив локален развој и децентрализација. Општините и натаму се соочуваа со сериозни финансиски тешкотии како резултат на инфлацијата и зголемените трошоци за енергија. Владата и општините треба да размислат за воспоставување механизам за постојана соработка</w:t>
      </w:r>
      <w:r w:rsidR="00372C80">
        <w:rPr>
          <w:rFonts w:ascii="Times New Roman" w:hAnsi="Times New Roman"/>
          <w:color w:val="000000"/>
          <w:sz w:val="24"/>
        </w:rPr>
        <w:t>,</w:t>
      </w:r>
      <w:r w:rsidRPr="00EA7926">
        <w:rPr>
          <w:rFonts w:ascii="Times New Roman" w:hAnsi="Times New Roman"/>
          <w:color w:val="000000"/>
          <w:sz w:val="24"/>
        </w:rPr>
        <w:t xml:space="preserve"> со цел да го заживеат меѓуинституционалниот дијалог на различни нивоа од владеењето, особено во однос на процесот на пристапните преговори со ЕУ.</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b/>
          <w:color w:val="000000"/>
          <w:sz w:val="24"/>
        </w:rPr>
        <w:t>Граѓанско општество</w:t>
      </w:r>
    </w:p>
    <w:p w:rsidR="004B28D4" w:rsidRPr="00EA7926" w:rsidRDefault="00F872B7" w:rsidP="004B28D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Pr>
          <w:rFonts w:ascii="Times New Roman" w:hAnsi="Times New Roman"/>
          <w:color w:val="000000"/>
          <w:sz w:val="24"/>
        </w:rPr>
        <w:t>Главно</w:t>
      </w:r>
      <w:r w:rsidR="004B28D4" w:rsidRPr="00EA7926">
        <w:rPr>
          <w:rFonts w:ascii="Times New Roman" w:hAnsi="Times New Roman"/>
          <w:color w:val="000000"/>
          <w:sz w:val="24"/>
        </w:rPr>
        <w:t>, граѓанските организации (ГО) во Северна Македонија продолжуваат да работат во поволно опкружување. Сепак, Владата треба да ги зголеми своите напори за вклучување на граѓанското општество во приоритетните области и</w:t>
      </w:r>
      <w:r w:rsidR="004F708A">
        <w:rPr>
          <w:rFonts w:ascii="Times New Roman" w:hAnsi="Times New Roman"/>
          <w:color w:val="000000"/>
          <w:sz w:val="24"/>
        </w:rPr>
        <w:t xml:space="preserve"> во</w:t>
      </w:r>
      <w:r w:rsidR="004B28D4" w:rsidRPr="00EA7926">
        <w:rPr>
          <w:rFonts w:ascii="Times New Roman" w:hAnsi="Times New Roman"/>
          <w:color w:val="000000"/>
          <w:sz w:val="24"/>
        </w:rPr>
        <w:t xml:space="preserve"> консултативни</w:t>
      </w:r>
      <w:r w:rsidR="00510023" w:rsidRPr="00EA7926">
        <w:rPr>
          <w:rFonts w:ascii="Times New Roman" w:hAnsi="Times New Roman"/>
          <w:color w:val="000000"/>
          <w:sz w:val="24"/>
        </w:rPr>
        <w:t>те</w:t>
      </w:r>
      <w:r w:rsidR="004B28D4" w:rsidRPr="00EA7926">
        <w:rPr>
          <w:rFonts w:ascii="Times New Roman" w:hAnsi="Times New Roman"/>
          <w:color w:val="000000"/>
          <w:sz w:val="24"/>
        </w:rPr>
        <w:t xml:space="preserve"> активности. ГО треба да имаат важна улога во реформскиот процес и да бидат вклучени во процесите на донесување одлуки. Сè уште постои потреба за изменување и </w:t>
      </w:r>
      <w:r w:rsidR="0017438F">
        <w:rPr>
          <w:rFonts w:ascii="Times New Roman" w:hAnsi="Times New Roman"/>
          <w:color w:val="000000"/>
          <w:sz w:val="24"/>
        </w:rPr>
        <w:t xml:space="preserve">за </w:t>
      </w:r>
      <w:r w:rsidR="004B28D4" w:rsidRPr="00EA7926">
        <w:rPr>
          <w:rFonts w:ascii="Times New Roman" w:hAnsi="Times New Roman"/>
          <w:color w:val="000000"/>
          <w:sz w:val="24"/>
        </w:rPr>
        <w:t xml:space="preserve">спроведување во </w:t>
      </w:r>
      <w:r w:rsidR="0017438F">
        <w:rPr>
          <w:rFonts w:ascii="Times New Roman" w:hAnsi="Times New Roman"/>
          <w:color w:val="000000"/>
          <w:sz w:val="24"/>
        </w:rPr>
        <w:t>практика</w:t>
      </w:r>
      <w:r w:rsidR="0017438F" w:rsidRPr="00EA7926">
        <w:rPr>
          <w:rFonts w:ascii="Times New Roman" w:hAnsi="Times New Roman"/>
          <w:color w:val="000000"/>
          <w:sz w:val="24"/>
        </w:rPr>
        <w:t xml:space="preserve"> </w:t>
      </w:r>
      <w:r w:rsidR="004B28D4" w:rsidRPr="00EA7926">
        <w:rPr>
          <w:rFonts w:ascii="Times New Roman" w:hAnsi="Times New Roman"/>
          <w:color w:val="000000"/>
          <w:sz w:val="24"/>
        </w:rPr>
        <w:t>на постојните законски и финансиски рамки, особено за да се обезбедат конзистентни механизми за доделување јавно финансирање на ГО. Потребно е Советот за соработка меѓу Владата и граѓанското општество да продолжи со своите активности.</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Граѓанското општество е клучна компонента на секој демократски систем и како такво државните институции и понатаму го признаваат. ГО и натаму работат во овозможувачка средина. Тие играат витална улога во промовирањето и унапредувањето на човековите права, владеењето на правото и стабилноста, со тоа што се постојани во своите улоги на чувари и што настојуваат да учествуваат во процесите на носење одлуки. ГО треба да бидат консултирани во однос на нацрт</w:t>
      </w:r>
      <w:r w:rsidR="00AA0592">
        <w:rPr>
          <w:rFonts w:ascii="Times New Roman" w:hAnsi="Times New Roman"/>
          <w:color w:val="000000"/>
          <w:sz w:val="24"/>
        </w:rPr>
        <w:t xml:space="preserve">от на </w:t>
      </w:r>
      <w:r w:rsidRPr="00EA7926">
        <w:rPr>
          <w:rFonts w:ascii="Times New Roman" w:hAnsi="Times New Roman"/>
          <w:color w:val="000000"/>
          <w:sz w:val="24"/>
        </w:rPr>
        <w:t>законодавството посистематски и позначително. Улогата на граѓанското општество во процесот на пристапни</w:t>
      </w:r>
      <w:r w:rsidR="00E70447">
        <w:rPr>
          <w:rFonts w:ascii="Times New Roman" w:hAnsi="Times New Roman"/>
          <w:color w:val="000000"/>
          <w:sz w:val="24"/>
        </w:rPr>
        <w:t>те</w:t>
      </w:r>
      <w:r w:rsidRPr="00EA7926">
        <w:rPr>
          <w:rFonts w:ascii="Times New Roman" w:hAnsi="Times New Roman"/>
          <w:color w:val="000000"/>
          <w:sz w:val="24"/>
        </w:rPr>
        <w:t xml:space="preserve"> преговори со ЕУ треба да биде зацврстена.</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Советот за соработка меѓу Владата и граѓанското општество сè уште е главен структурен канал за консултации и </w:t>
      </w:r>
      <w:r w:rsidR="00A848FB">
        <w:rPr>
          <w:rFonts w:ascii="Times New Roman" w:hAnsi="Times New Roman"/>
          <w:color w:val="000000"/>
          <w:sz w:val="24"/>
        </w:rPr>
        <w:t xml:space="preserve">за </w:t>
      </w:r>
      <w:r w:rsidRPr="00EA7926">
        <w:rPr>
          <w:rFonts w:ascii="Times New Roman" w:hAnsi="Times New Roman"/>
          <w:color w:val="000000"/>
          <w:sz w:val="24"/>
        </w:rPr>
        <w:t xml:space="preserve">вклучување на граѓанското општество во политичкиот дијалог и </w:t>
      </w:r>
      <w:r w:rsidR="00A848FB">
        <w:rPr>
          <w:rFonts w:ascii="Times New Roman" w:hAnsi="Times New Roman"/>
          <w:color w:val="000000"/>
          <w:sz w:val="24"/>
        </w:rPr>
        <w:t xml:space="preserve">во </w:t>
      </w:r>
      <w:r w:rsidRPr="00EA7926">
        <w:rPr>
          <w:rFonts w:ascii="Times New Roman" w:hAnsi="Times New Roman"/>
          <w:color w:val="000000"/>
          <w:sz w:val="24"/>
        </w:rPr>
        <w:t xml:space="preserve">одлучувањето. Буџетските </w:t>
      </w:r>
      <w:r w:rsidR="00510023" w:rsidRPr="00EA7926">
        <w:rPr>
          <w:rFonts w:ascii="Times New Roman" w:hAnsi="Times New Roman"/>
          <w:color w:val="000000"/>
          <w:sz w:val="24"/>
        </w:rPr>
        <w:t xml:space="preserve">средства </w:t>
      </w:r>
      <w:r w:rsidRPr="00EA7926">
        <w:rPr>
          <w:rFonts w:ascii="Times New Roman" w:hAnsi="Times New Roman"/>
          <w:color w:val="000000"/>
          <w:sz w:val="24"/>
        </w:rPr>
        <w:t xml:space="preserve">за годишната програма за соработка со граѓанското општество не се вратени во </w:t>
      </w:r>
      <w:r w:rsidR="00E8316C">
        <w:rPr>
          <w:rFonts w:ascii="Times New Roman" w:hAnsi="Times New Roman"/>
          <w:color w:val="000000"/>
          <w:sz w:val="24"/>
        </w:rPr>
        <w:t>дополнувањето</w:t>
      </w:r>
      <w:r w:rsidR="00E8316C" w:rsidRPr="00EA7926">
        <w:rPr>
          <w:rFonts w:ascii="Times New Roman" w:hAnsi="Times New Roman"/>
          <w:color w:val="000000"/>
          <w:sz w:val="24"/>
        </w:rPr>
        <w:t xml:space="preserve"> </w:t>
      </w:r>
      <w:r w:rsidRPr="00EA7926">
        <w:rPr>
          <w:rFonts w:ascii="Times New Roman" w:hAnsi="Times New Roman"/>
          <w:color w:val="000000"/>
          <w:sz w:val="24"/>
        </w:rPr>
        <w:t xml:space="preserve">на буџетот за 2022 година. Ова е спротивно на целите на политиката од </w:t>
      </w:r>
      <w:r w:rsidR="00374AD8">
        <w:rPr>
          <w:rFonts w:ascii="Times New Roman" w:hAnsi="Times New Roman"/>
          <w:color w:val="000000"/>
          <w:sz w:val="24"/>
        </w:rPr>
        <w:t>С</w:t>
      </w:r>
      <w:r w:rsidRPr="00EA7926">
        <w:rPr>
          <w:rFonts w:ascii="Times New Roman" w:hAnsi="Times New Roman"/>
          <w:color w:val="000000"/>
          <w:sz w:val="24"/>
        </w:rPr>
        <w:t xml:space="preserve">тратегијата за соработка со граѓанското општество 2022-2024. ГО ја бојкотираа работата на Советот од март 2022 година како резултат на владината одлука да ги пренесе средствата за финансирање на ГО од Генералниот секретаријат кон Министерството за политички систем и односи меѓу заедниците. Има потреба да се врати довербата и соработката. Улогата на Советот и </w:t>
      </w:r>
      <w:r w:rsidR="00E75A4D">
        <w:rPr>
          <w:rFonts w:ascii="Times New Roman" w:hAnsi="Times New Roman"/>
          <w:color w:val="000000"/>
          <w:sz w:val="24"/>
        </w:rPr>
        <w:t xml:space="preserve">на </w:t>
      </w:r>
      <w:r w:rsidRPr="00EA7926">
        <w:rPr>
          <w:rFonts w:ascii="Times New Roman" w:hAnsi="Times New Roman"/>
          <w:color w:val="000000"/>
          <w:sz w:val="24"/>
        </w:rPr>
        <w:t xml:space="preserve">релевантната единица во Генералниот секретаријат на </w:t>
      </w:r>
      <w:r w:rsidR="0008275C">
        <w:rPr>
          <w:rFonts w:ascii="Times New Roman" w:hAnsi="Times New Roman"/>
          <w:color w:val="000000"/>
          <w:sz w:val="24"/>
        </w:rPr>
        <w:t>В</w:t>
      </w:r>
      <w:r w:rsidRPr="00EA7926">
        <w:rPr>
          <w:rFonts w:ascii="Times New Roman" w:hAnsi="Times New Roman"/>
          <w:color w:val="000000"/>
          <w:sz w:val="24"/>
        </w:rPr>
        <w:t>ладата треба да биде подобрена.</w:t>
      </w:r>
    </w:p>
    <w:p w:rsidR="004B28D4" w:rsidRPr="00EA7926" w:rsidRDefault="00510023"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Во тек е </w:t>
      </w:r>
      <w:r w:rsidR="004B28D4" w:rsidRPr="00EA7926">
        <w:rPr>
          <w:rFonts w:ascii="Times New Roman" w:hAnsi="Times New Roman"/>
          <w:color w:val="000000"/>
          <w:sz w:val="24"/>
        </w:rPr>
        <w:t xml:space="preserve">спроведувањето на </w:t>
      </w:r>
      <w:r w:rsidR="00E75A4D">
        <w:rPr>
          <w:rFonts w:ascii="Times New Roman" w:hAnsi="Times New Roman"/>
          <w:color w:val="000000"/>
          <w:sz w:val="24"/>
        </w:rPr>
        <w:t>С</w:t>
      </w:r>
      <w:r w:rsidR="004B28D4" w:rsidRPr="00EA7926">
        <w:rPr>
          <w:rFonts w:ascii="Times New Roman" w:hAnsi="Times New Roman"/>
          <w:color w:val="000000"/>
          <w:sz w:val="24"/>
        </w:rPr>
        <w:t xml:space="preserve">тратегијата за соработка со и развој на граѓанското општество 2022-2024, иако </w:t>
      </w:r>
      <w:r w:rsidRPr="00EA7926">
        <w:rPr>
          <w:rFonts w:ascii="Times New Roman" w:hAnsi="Times New Roman"/>
          <w:color w:val="000000"/>
          <w:sz w:val="24"/>
        </w:rPr>
        <w:t xml:space="preserve">е </w:t>
      </w:r>
      <w:r w:rsidR="004B28D4" w:rsidRPr="00EA7926">
        <w:rPr>
          <w:rFonts w:ascii="Times New Roman" w:hAnsi="Times New Roman"/>
          <w:color w:val="000000"/>
          <w:sz w:val="24"/>
        </w:rPr>
        <w:t xml:space="preserve">потребна ефективна надзорна рамка за проверка на </w:t>
      </w:r>
      <w:r w:rsidR="00716C0B">
        <w:rPr>
          <w:rFonts w:ascii="Times New Roman" w:hAnsi="Times New Roman"/>
          <w:color w:val="000000"/>
          <w:sz w:val="24"/>
        </w:rPr>
        <w:t>нејзиното сп</w:t>
      </w:r>
      <w:r w:rsidR="009A0B87">
        <w:rPr>
          <w:rFonts w:ascii="Times New Roman" w:hAnsi="Times New Roman"/>
          <w:color w:val="000000"/>
          <w:sz w:val="24"/>
        </w:rPr>
        <w:t>р</w:t>
      </w:r>
      <w:r w:rsidR="00716C0B">
        <w:rPr>
          <w:rFonts w:ascii="Times New Roman" w:hAnsi="Times New Roman"/>
          <w:color w:val="000000"/>
          <w:sz w:val="24"/>
        </w:rPr>
        <w:t>оведување</w:t>
      </w:r>
      <w:r w:rsidR="004B28D4" w:rsidRPr="00EA7926">
        <w:rPr>
          <w:rFonts w:ascii="Times New Roman" w:hAnsi="Times New Roman"/>
          <w:color w:val="000000"/>
          <w:sz w:val="24"/>
        </w:rPr>
        <w:t xml:space="preserve">. Локалните </w:t>
      </w:r>
      <w:r w:rsidRPr="00EA7926">
        <w:rPr>
          <w:rFonts w:ascii="Times New Roman" w:hAnsi="Times New Roman"/>
          <w:color w:val="000000"/>
          <w:sz w:val="24"/>
        </w:rPr>
        <w:t xml:space="preserve">органи </w:t>
      </w:r>
      <w:r w:rsidR="004B28D4" w:rsidRPr="00EA7926">
        <w:rPr>
          <w:rFonts w:ascii="Times New Roman" w:hAnsi="Times New Roman"/>
          <w:color w:val="000000"/>
          <w:sz w:val="24"/>
        </w:rPr>
        <w:t>треба да бидат повеќе проактивни и да развијат конзистентен пристап во вклучувањето на ГО во креирањето политики на локално ниво.</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b/>
          <w:color w:val="000000"/>
          <w:sz w:val="24"/>
        </w:rPr>
        <w:t>Граѓански надзор врз безбедносниот/разузнавачкиот сектор</w:t>
      </w:r>
    </w:p>
    <w:p w:rsidR="004B28D4" w:rsidRPr="00EA7926" w:rsidRDefault="00510023"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Собраниските </w:t>
      </w:r>
      <w:r w:rsidR="004B28D4" w:rsidRPr="00EA7926">
        <w:rPr>
          <w:rFonts w:ascii="Times New Roman" w:hAnsi="Times New Roman"/>
          <w:color w:val="000000"/>
          <w:sz w:val="24"/>
        </w:rPr>
        <w:t>комисии што ги надгледуваат разузнавачките служби одржаа неколку средби, но потребни се натамошни напори за подобрување на нивната ефикасност.</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Специјалниот оддел за истрага и гонење кривични дела сторени од лица со полициски овластувања и </w:t>
      </w:r>
      <w:r w:rsidR="00542C82">
        <w:rPr>
          <w:rFonts w:ascii="Times New Roman" w:hAnsi="Times New Roman"/>
          <w:color w:val="000000"/>
          <w:sz w:val="24"/>
        </w:rPr>
        <w:t xml:space="preserve">од </w:t>
      </w:r>
      <w:r w:rsidRPr="00EA7926">
        <w:rPr>
          <w:rFonts w:ascii="Times New Roman" w:hAnsi="Times New Roman"/>
          <w:color w:val="000000"/>
          <w:sz w:val="24"/>
        </w:rPr>
        <w:t xml:space="preserve">припадници на затворската полиција е оперативен. Сепак, недостигот на доволно </w:t>
      </w:r>
      <w:r w:rsidR="009D106B">
        <w:rPr>
          <w:rFonts w:ascii="Times New Roman" w:hAnsi="Times New Roman"/>
          <w:color w:val="000000"/>
          <w:sz w:val="24"/>
        </w:rPr>
        <w:t>кадар</w:t>
      </w:r>
      <w:r w:rsidR="009D106B" w:rsidRPr="00EA7926">
        <w:rPr>
          <w:rFonts w:ascii="Times New Roman" w:hAnsi="Times New Roman"/>
          <w:color w:val="000000"/>
          <w:sz w:val="24"/>
        </w:rPr>
        <w:t xml:space="preserve"> </w:t>
      </w:r>
      <w:r w:rsidRPr="00EA7926">
        <w:rPr>
          <w:rFonts w:ascii="Times New Roman" w:hAnsi="Times New Roman"/>
          <w:color w:val="000000"/>
          <w:sz w:val="24"/>
        </w:rPr>
        <w:t>ја попречува неговата ефикасност.</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Механизмот за цивилна контрола е составен само од претставник на </w:t>
      </w:r>
      <w:r w:rsidR="00C77C26" w:rsidRPr="00EA7926">
        <w:rPr>
          <w:rFonts w:ascii="Times New Roman" w:hAnsi="Times New Roman"/>
          <w:color w:val="000000"/>
          <w:sz w:val="24"/>
        </w:rPr>
        <w:t xml:space="preserve">Канцеларијата на </w:t>
      </w:r>
      <w:r w:rsidRPr="00EA7926">
        <w:rPr>
          <w:rFonts w:ascii="Times New Roman" w:hAnsi="Times New Roman"/>
          <w:color w:val="000000"/>
          <w:sz w:val="24"/>
        </w:rPr>
        <w:t xml:space="preserve">Јавниот правобранител. Собранието не избра здруженија на граѓани </w:t>
      </w:r>
      <w:r w:rsidR="00504BE1">
        <w:rPr>
          <w:rFonts w:ascii="Times New Roman" w:hAnsi="Times New Roman"/>
          <w:color w:val="000000"/>
          <w:sz w:val="24"/>
        </w:rPr>
        <w:t>што</w:t>
      </w:r>
      <w:r w:rsidRPr="00EA7926">
        <w:rPr>
          <w:rFonts w:ascii="Times New Roman" w:hAnsi="Times New Roman"/>
          <w:color w:val="000000"/>
          <w:sz w:val="24"/>
        </w:rPr>
        <w:t xml:space="preserve"> треба да бидат дел од овој механизам.</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Советот за цивилен надзор, </w:t>
      </w:r>
      <w:r w:rsidR="00C77C26" w:rsidRPr="00EA7926">
        <w:rPr>
          <w:rFonts w:ascii="Times New Roman" w:hAnsi="Times New Roman"/>
          <w:color w:val="000000"/>
          <w:sz w:val="24"/>
        </w:rPr>
        <w:t>уреден со</w:t>
      </w:r>
      <w:r w:rsidRPr="00EA7926">
        <w:rPr>
          <w:rFonts w:ascii="Times New Roman" w:hAnsi="Times New Roman"/>
          <w:color w:val="000000"/>
          <w:sz w:val="24"/>
        </w:rPr>
        <w:t xml:space="preserve"> Законот за след</w:t>
      </w:r>
      <w:r w:rsidR="00C77C26" w:rsidRPr="00EA7926">
        <w:rPr>
          <w:rFonts w:ascii="Times New Roman" w:hAnsi="Times New Roman"/>
          <w:color w:val="000000"/>
          <w:sz w:val="24"/>
        </w:rPr>
        <w:t>е</w:t>
      </w:r>
      <w:r w:rsidRPr="00EA7926">
        <w:rPr>
          <w:rFonts w:ascii="Times New Roman" w:hAnsi="Times New Roman"/>
          <w:color w:val="000000"/>
          <w:sz w:val="24"/>
        </w:rPr>
        <w:t xml:space="preserve">ње на комуникациите, не е воспоставен во </w:t>
      </w:r>
      <w:r w:rsidR="00530B40">
        <w:rPr>
          <w:rFonts w:ascii="Times New Roman" w:hAnsi="Times New Roman"/>
          <w:color w:val="000000"/>
          <w:sz w:val="24"/>
        </w:rPr>
        <w:t>практика</w:t>
      </w:r>
      <w:r w:rsidRPr="00EA7926">
        <w:rPr>
          <w:rFonts w:ascii="Times New Roman" w:hAnsi="Times New Roman"/>
          <w:color w:val="000000"/>
          <w:sz w:val="24"/>
        </w:rPr>
        <w:t xml:space="preserve">. Во јули 2023 година Собранието донесе </w:t>
      </w:r>
      <w:r w:rsidR="00C77C26" w:rsidRPr="00EA7926">
        <w:rPr>
          <w:rFonts w:ascii="Times New Roman" w:hAnsi="Times New Roman"/>
          <w:color w:val="000000"/>
          <w:sz w:val="24"/>
        </w:rPr>
        <w:t xml:space="preserve">измени и дополнувања </w:t>
      </w:r>
      <w:r w:rsidRPr="00EA7926">
        <w:rPr>
          <w:rFonts w:ascii="Times New Roman" w:hAnsi="Times New Roman"/>
          <w:color w:val="000000"/>
          <w:sz w:val="24"/>
        </w:rPr>
        <w:t>на Законот</w:t>
      </w:r>
      <w:r w:rsidR="00D34BFA">
        <w:rPr>
          <w:rFonts w:ascii="Times New Roman" w:hAnsi="Times New Roman"/>
          <w:color w:val="000000"/>
          <w:sz w:val="24"/>
        </w:rPr>
        <w:t>,</w:t>
      </w:r>
      <w:r w:rsidRPr="00EA7926">
        <w:rPr>
          <w:rFonts w:ascii="Times New Roman" w:hAnsi="Times New Roman"/>
          <w:color w:val="000000"/>
          <w:sz w:val="24"/>
        </w:rPr>
        <w:t xml:space="preserve"> </w:t>
      </w:r>
      <w:r w:rsidR="00F94F59">
        <w:rPr>
          <w:rFonts w:ascii="Times New Roman" w:hAnsi="Times New Roman"/>
          <w:color w:val="000000"/>
          <w:sz w:val="24"/>
        </w:rPr>
        <w:t>неопходни</w:t>
      </w:r>
      <w:r w:rsidR="00F94F59" w:rsidRPr="00EA7926">
        <w:rPr>
          <w:rFonts w:ascii="Times New Roman" w:hAnsi="Times New Roman"/>
          <w:color w:val="000000"/>
          <w:sz w:val="24"/>
        </w:rPr>
        <w:t xml:space="preserve"> </w:t>
      </w:r>
      <w:r w:rsidRPr="00EA7926">
        <w:rPr>
          <w:rFonts w:ascii="Times New Roman" w:hAnsi="Times New Roman"/>
          <w:color w:val="000000"/>
          <w:sz w:val="24"/>
        </w:rPr>
        <w:t>за операционализирање на Советот за граѓански надзор.</w:t>
      </w:r>
    </w:p>
    <w:p w:rsidR="004B28D4" w:rsidRPr="00EA7926" w:rsidRDefault="004B28D4" w:rsidP="004B28D4">
      <w:pPr>
        <w:pStyle w:val="Heading2"/>
      </w:pPr>
      <w:bookmarkStart w:id="16" w:name="bookmark12"/>
      <w:bookmarkStart w:id="17" w:name="_Toc150864247"/>
      <w:r w:rsidRPr="00EA7926">
        <w:t>2</w:t>
      </w:r>
      <w:bookmarkEnd w:id="16"/>
      <w:r w:rsidRPr="00EA7926">
        <w:t>.1.2.</w:t>
      </w:r>
      <w:r w:rsidRPr="00EA7926">
        <w:tab/>
        <w:t>Реформа на јавната администрација</w:t>
      </w:r>
      <w:bookmarkEnd w:id="17"/>
    </w:p>
    <w:p w:rsidR="004B28D4" w:rsidRPr="00EA7926" w:rsidRDefault="004B28D4" w:rsidP="004B28D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Северна Македонија е </w:t>
      </w:r>
      <w:r w:rsidRPr="00EA7926">
        <w:rPr>
          <w:rFonts w:ascii="Times New Roman" w:hAnsi="Times New Roman"/>
          <w:b/>
          <w:bCs/>
          <w:color w:val="000000"/>
          <w:sz w:val="24"/>
        </w:rPr>
        <w:t>умерено подготвена</w:t>
      </w:r>
      <w:r w:rsidRPr="00EA7926">
        <w:rPr>
          <w:rFonts w:ascii="Times New Roman" w:hAnsi="Times New Roman"/>
          <w:color w:val="000000"/>
          <w:sz w:val="24"/>
        </w:rPr>
        <w:t xml:space="preserve"> во однос на реформата на јавната администрација. Во извештајниот период </w:t>
      </w:r>
      <w:r w:rsidR="00D34BFA">
        <w:rPr>
          <w:rFonts w:ascii="Times New Roman" w:hAnsi="Times New Roman"/>
          <w:color w:val="000000"/>
          <w:sz w:val="24"/>
        </w:rPr>
        <w:t xml:space="preserve">е </w:t>
      </w:r>
      <w:r w:rsidRPr="00EA7926">
        <w:rPr>
          <w:rFonts w:ascii="Times New Roman" w:hAnsi="Times New Roman"/>
          <w:color w:val="000000"/>
          <w:sz w:val="24"/>
        </w:rPr>
        <w:t>постигнат</w:t>
      </w:r>
      <w:r w:rsidR="00C77C26" w:rsidRPr="00EA7926">
        <w:rPr>
          <w:rFonts w:ascii="Times New Roman" w:hAnsi="Times New Roman"/>
          <w:color w:val="000000"/>
          <w:sz w:val="24"/>
        </w:rPr>
        <w:t xml:space="preserve"> </w:t>
      </w:r>
      <w:r w:rsidRPr="00EA7926">
        <w:rPr>
          <w:rFonts w:ascii="Times New Roman" w:hAnsi="Times New Roman"/>
          <w:b/>
          <w:bCs/>
          <w:color w:val="000000"/>
          <w:sz w:val="24"/>
        </w:rPr>
        <w:t>ограничен напредок</w:t>
      </w:r>
      <w:r w:rsidRPr="00EA7926">
        <w:rPr>
          <w:rFonts w:ascii="Times New Roman" w:hAnsi="Times New Roman"/>
          <w:color w:val="000000"/>
          <w:sz w:val="24"/>
        </w:rPr>
        <w:t xml:space="preserve"> со донесувањето на новата </w:t>
      </w:r>
      <w:r w:rsidR="00F94F59">
        <w:rPr>
          <w:rFonts w:ascii="Times New Roman" w:hAnsi="Times New Roman"/>
          <w:color w:val="000000"/>
          <w:sz w:val="24"/>
        </w:rPr>
        <w:t>С</w:t>
      </w:r>
      <w:r w:rsidRPr="00EA7926">
        <w:rPr>
          <w:rFonts w:ascii="Times New Roman" w:hAnsi="Times New Roman"/>
          <w:color w:val="000000"/>
          <w:sz w:val="24"/>
        </w:rPr>
        <w:t xml:space="preserve">тратегија за реформа на јавната администрација и </w:t>
      </w:r>
      <w:r w:rsidR="008D6394">
        <w:rPr>
          <w:rFonts w:ascii="Times New Roman" w:hAnsi="Times New Roman"/>
          <w:color w:val="000000"/>
          <w:sz w:val="24"/>
        </w:rPr>
        <w:t xml:space="preserve">на </w:t>
      </w:r>
      <w:r w:rsidRPr="00EA7926">
        <w:rPr>
          <w:rFonts w:ascii="Times New Roman" w:hAnsi="Times New Roman"/>
          <w:color w:val="000000"/>
          <w:sz w:val="24"/>
        </w:rPr>
        <w:t xml:space="preserve">придружниот акциски план во јули 2023 година. И покрај тоа што го почна процесот пред 5 години, земјата сè уште не ја донесе ревидираната законска рамка за управување со човечки ресурси, која ги вклучува ревидираниот Закон за административни службеници, Законот за вработените во јавниот сектор и новите законски одредби за висока раководна служба. Новата рамка треба да го подобри управувањето со човечките ресурси во администрацијата и да помогне да се обезбедат вработувања, унапредувања и отпуштања </w:t>
      </w:r>
      <w:r w:rsidR="00C77C26" w:rsidRPr="00EA7926">
        <w:rPr>
          <w:rFonts w:ascii="Times New Roman" w:hAnsi="Times New Roman"/>
          <w:color w:val="000000"/>
          <w:sz w:val="24"/>
        </w:rPr>
        <w:t>засновани</w:t>
      </w:r>
      <w:r w:rsidRPr="00EA7926">
        <w:rPr>
          <w:rFonts w:ascii="Times New Roman" w:hAnsi="Times New Roman"/>
          <w:color w:val="000000"/>
          <w:sz w:val="24"/>
        </w:rPr>
        <w:t xml:space="preserve"> на заслуги на сите нивоа, вклучително и високото раководство. Законодавството сè уште не ги прифатило препораките на Државната комисија за спречување на корупцијата за непотизам, </w:t>
      </w:r>
      <w:r w:rsidR="00C77C26" w:rsidRPr="00EA7926">
        <w:rPr>
          <w:rFonts w:ascii="Times New Roman" w:hAnsi="Times New Roman"/>
          <w:color w:val="000000"/>
          <w:sz w:val="24"/>
        </w:rPr>
        <w:t xml:space="preserve">кронизам </w:t>
      </w:r>
      <w:r w:rsidRPr="00EA7926">
        <w:rPr>
          <w:rFonts w:ascii="Times New Roman" w:hAnsi="Times New Roman"/>
          <w:color w:val="000000"/>
          <w:sz w:val="24"/>
        </w:rPr>
        <w:t xml:space="preserve">и политичко влијание при вработувањето во јавниот сектор и при именувањето членови на надзорните и </w:t>
      </w:r>
      <w:r w:rsidR="00DC66A8">
        <w:rPr>
          <w:rFonts w:ascii="Times New Roman" w:hAnsi="Times New Roman"/>
          <w:color w:val="000000"/>
          <w:sz w:val="24"/>
        </w:rPr>
        <w:t xml:space="preserve">на </w:t>
      </w:r>
      <w:r w:rsidRPr="00EA7926">
        <w:rPr>
          <w:rFonts w:ascii="Times New Roman" w:hAnsi="Times New Roman"/>
          <w:color w:val="000000"/>
          <w:sz w:val="24"/>
        </w:rPr>
        <w:t xml:space="preserve">управните одбори. </w:t>
      </w:r>
      <w:r w:rsidRPr="00EA7926">
        <w:rPr>
          <w:rFonts w:ascii="Times New Roman" w:hAnsi="Times New Roman"/>
          <w:sz w:val="24"/>
        </w:rPr>
        <w:t xml:space="preserve">Подобрувањата во </w:t>
      </w:r>
      <w:r w:rsidR="00F94F59">
        <w:rPr>
          <w:rFonts w:ascii="Times New Roman" w:hAnsi="Times New Roman"/>
          <w:sz w:val="24"/>
        </w:rPr>
        <w:t>отчетноста</w:t>
      </w:r>
      <w:r w:rsidR="00F94F59" w:rsidRPr="00EA7926">
        <w:rPr>
          <w:rFonts w:ascii="Times New Roman" w:hAnsi="Times New Roman"/>
          <w:sz w:val="24"/>
        </w:rPr>
        <w:t xml:space="preserve"> </w:t>
      </w:r>
      <w:r w:rsidRPr="00EA7926">
        <w:rPr>
          <w:rFonts w:ascii="Times New Roman" w:hAnsi="Times New Roman"/>
          <w:sz w:val="24"/>
        </w:rPr>
        <w:t>во јавната администрација се поткопани со недонесувањето на новиот Закон за организација и работа на органите на државната управа.</w:t>
      </w:r>
      <w:r w:rsidRPr="00EA7926">
        <w:rPr>
          <w:rFonts w:ascii="Times New Roman" w:hAnsi="Times New Roman"/>
          <w:color w:val="000000"/>
          <w:sz w:val="24"/>
        </w:rPr>
        <w:t xml:space="preserve"> Во моментот се прават напори да се подобри испораката на услуги за граѓаните и </w:t>
      </w:r>
      <w:r w:rsidR="00B93D81">
        <w:rPr>
          <w:rFonts w:ascii="Times New Roman" w:hAnsi="Times New Roman"/>
          <w:color w:val="000000"/>
          <w:sz w:val="24"/>
        </w:rPr>
        <w:t xml:space="preserve">за </w:t>
      </w:r>
      <w:r w:rsidRPr="00EA7926">
        <w:rPr>
          <w:rFonts w:ascii="Times New Roman" w:hAnsi="Times New Roman"/>
          <w:color w:val="000000"/>
          <w:sz w:val="24"/>
        </w:rPr>
        <w:t>бизнисите.</w:t>
      </w:r>
    </w:p>
    <w:p w:rsidR="004B28D4" w:rsidRPr="00EA7926" w:rsidRDefault="004B28D4" w:rsidP="004B28D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EA7926">
        <w:rPr>
          <w:rFonts w:ascii="Times New Roman" w:hAnsi="Times New Roman"/>
          <w:color w:val="000000"/>
          <w:sz w:val="24"/>
        </w:rPr>
        <w:t>Бидејќи минатогодишните препораки беа само делумно спроведени, тие и понатаму важат. Во наредниот период земјата особено треба:</w:t>
      </w:r>
    </w:p>
    <w:p w:rsidR="004B28D4" w:rsidRPr="00EA7926" w:rsidRDefault="004B28D4" w:rsidP="004B28D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EA7926">
        <w:rPr>
          <w:rFonts w:ascii="Times New Roman" w:hAnsi="Times New Roman"/>
          <w:color w:val="000000"/>
          <w:sz w:val="24"/>
        </w:rPr>
        <w:t>→</w:t>
      </w:r>
      <w:r w:rsidRPr="00EA7926">
        <w:rPr>
          <w:rFonts w:ascii="Times New Roman" w:hAnsi="Times New Roman"/>
          <w:color w:val="000000"/>
          <w:sz w:val="24"/>
        </w:rPr>
        <w:tab/>
        <w:t>да ги донесе и да ги спроведе ревидираниот Закон за административни службеници, Законот за вработените во јавните служби и законските одредби за висока раководна служба;</w:t>
      </w:r>
    </w:p>
    <w:p w:rsidR="004B28D4" w:rsidRPr="00EA7926" w:rsidRDefault="004B28D4" w:rsidP="004B28D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EA7926">
        <w:rPr>
          <w:rFonts w:ascii="Times New Roman" w:hAnsi="Times New Roman"/>
          <w:color w:val="000000"/>
          <w:sz w:val="24"/>
        </w:rPr>
        <w:t>→</w:t>
      </w:r>
      <w:r w:rsidRPr="00EA7926">
        <w:rPr>
          <w:rFonts w:ascii="Times New Roman" w:hAnsi="Times New Roman"/>
          <w:color w:val="000000"/>
          <w:sz w:val="24"/>
        </w:rPr>
        <w:tab/>
        <w:t xml:space="preserve">да го донесе и </w:t>
      </w:r>
      <w:r w:rsidR="00B93D81">
        <w:rPr>
          <w:rFonts w:ascii="Times New Roman" w:hAnsi="Times New Roman"/>
          <w:color w:val="000000"/>
          <w:sz w:val="24"/>
        </w:rPr>
        <w:t xml:space="preserve">да го </w:t>
      </w:r>
      <w:r w:rsidRPr="00EA7926">
        <w:rPr>
          <w:rFonts w:ascii="Times New Roman" w:hAnsi="Times New Roman"/>
          <w:color w:val="000000"/>
          <w:sz w:val="24"/>
        </w:rPr>
        <w:t>спроведе Законот за организација и работа на органите на државната управа и други поврзани закони во согласност со препораките за новата организација на органите на државната управа;</w:t>
      </w:r>
    </w:p>
    <w:p w:rsidR="004B28D4" w:rsidRPr="00EA7926" w:rsidRDefault="004B28D4" w:rsidP="004B28D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EA7926">
        <w:rPr>
          <w:rFonts w:ascii="Times New Roman" w:hAnsi="Times New Roman"/>
          <w:color w:val="000000"/>
          <w:sz w:val="24"/>
        </w:rPr>
        <w:t>→</w:t>
      </w:r>
      <w:r w:rsidRPr="00EA7926">
        <w:rPr>
          <w:rFonts w:ascii="Times New Roman" w:hAnsi="Times New Roman"/>
          <w:color w:val="000000"/>
          <w:sz w:val="24"/>
        </w:rPr>
        <w:tab/>
        <w:t>да обезбеди целосно спроведување на Законот за општа управна постапка со завршување на дигитализацијата на регистрите на институциите и размената на податоци и поедноставување на електронските постапки.</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u w:val="single"/>
        </w:rPr>
        <w:t>Стратешка рамка за реформа на јавната администрација</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Новата </w:t>
      </w:r>
      <w:r w:rsidR="00C823BE">
        <w:rPr>
          <w:rFonts w:ascii="Times New Roman" w:hAnsi="Times New Roman"/>
          <w:b/>
          <w:bCs/>
          <w:color w:val="000000"/>
          <w:sz w:val="24"/>
        </w:rPr>
        <w:t>С</w:t>
      </w:r>
      <w:r w:rsidRPr="00E256EB">
        <w:rPr>
          <w:rFonts w:ascii="Times New Roman" w:hAnsi="Times New Roman"/>
          <w:b/>
          <w:bCs/>
          <w:color w:val="000000"/>
          <w:sz w:val="24"/>
        </w:rPr>
        <w:t>тратегијата за јавна администрација</w:t>
      </w:r>
      <w:r w:rsidRPr="00EA7926">
        <w:rPr>
          <w:rFonts w:ascii="Times New Roman" w:hAnsi="Times New Roman"/>
          <w:color w:val="000000"/>
          <w:sz w:val="24"/>
        </w:rPr>
        <w:t xml:space="preserve"> 2023-2030 и придружниот акциски план </w:t>
      </w:r>
      <w:r w:rsidR="00881B4A" w:rsidRPr="00EA7926">
        <w:rPr>
          <w:rFonts w:ascii="Times New Roman" w:hAnsi="Times New Roman"/>
          <w:color w:val="000000"/>
          <w:sz w:val="24"/>
        </w:rPr>
        <w:t xml:space="preserve">се </w:t>
      </w:r>
      <w:r w:rsidRPr="00EA7926">
        <w:rPr>
          <w:rFonts w:ascii="Times New Roman" w:hAnsi="Times New Roman"/>
          <w:color w:val="000000"/>
          <w:sz w:val="24"/>
        </w:rPr>
        <w:t xml:space="preserve">донесени во јули 2023 година. Неколку делови се пренесени од претходната стратегија без предложени мерки за </w:t>
      </w:r>
      <w:r w:rsidR="00FA3338" w:rsidRPr="00EA7926">
        <w:rPr>
          <w:rFonts w:ascii="Times New Roman" w:hAnsi="Times New Roman"/>
          <w:color w:val="000000"/>
          <w:sz w:val="24"/>
        </w:rPr>
        <w:t xml:space="preserve">ублажување </w:t>
      </w:r>
      <w:r w:rsidRPr="00EA7926">
        <w:rPr>
          <w:rFonts w:ascii="Times New Roman" w:hAnsi="Times New Roman"/>
          <w:color w:val="000000"/>
          <w:sz w:val="24"/>
        </w:rPr>
        <w:t xml:space="preserve">и покрај претходните предизвици во врска со нивното спроведување. Мерките планирани за првата година од </w:t>
      </w:r>
      <w:r w:rsidR="00877B47">
        <w:rPr>
          <w:rFonts w:ascii="Times New Roman" w:hAnsi="Times New Roman"/>
          <w:b/>
          <w:bCs/>
          <w:color w:val="000000"/>
          <w:sz w:val="24"/>
        </w:rPr>
        <w:t>П</w:t>
      </w:r>
      <w:r w:rsidRPr="00EA7926">
        <w:rPr>
          <w:rFonts w:ascii="Times New Roman" w:hAnsi="Times New Roman"/>
          <w:b/>
          <w:bCs/>
          <w:color w:val="000000"/>
          <w:sz w:val="24"/>
        </w:rPr>
        <w:t>рограмата за реформи во управувањето со јавните финансии</w:t>
      </w:r>
      <w:r w:rsidRPr="00EA7926">
        <w:rPr>
          <w:rFonts w:ascii="Times New Roman" w:hAnsi="Times New Roman"/>
          <w:color w:val="000000"/>
          <w:sz w:val="24"/>
        </w:rPr>
        <w:t xml:space="preserve"> заостануваат поради одложувањето на носењето на клучното законодавство. Советот на високо ниво за реформи во јавната администрација се сретна</w:t>
      </w:r>
      <w:r w:rsidR="00FA3338" w:rsidRPr="00EA7926">
        <w:rPr>
          <w:rFonts w:ascii="Times New Roman" w:hAnsi="Times New Roman"/>
          <w:color w:val="000000"/>
          <w:sz w:val="24"/>
        </w:rPr>
        <w:t>л</w:t>
      </w:r>
      <w:r w:rsidRPr="00EA7926">
        <w:rPr>
          <w:rFonts w:ascii="Times New Roman" w:hAnsi="Times New Roman"/>
          <w:color w:val="000000"/>
          <w:sz w:val="24"/>
        </w:rPr>
        <w:t xml:space="preserve"> еднаш во текот на извештајниот период. Нема доволно </w:t>
      </w:r>
      <w:r w:rsidRPr="00EA7926">
        <w:rPr>
          <w:rFonts w:ascii="Times New Roman" w:hAnsi="Times New Roman"/>
          <w:b/>
          <w:bCs/>
          <w:color w:val="000000"/>
          <w:sz w:val="24"/>
        </w:rPr>
        <w:t>политичка поддршка</w:t>
      </w:r>
      <w:r w:rsidRPr="00EA7926">
        <w:rPr>
          <w:rFonts w:ascii="Times New Roman" w:hAnsi="Times New Roman"/>
          <w:color w:val="000000"/>
          <w:sz w:val="24"/>
        </w:rPr>
        <w:t xml:space="preserve">, лидерство и надзор на реформите. Министерството за информатичко општество и администрација нема доволно човечки ресурси за да ги придвижи реформите на техничко ниво. Националните средства за </w:t>
      </w:r>
      <w:r w:rsidR="00FA3338" w:rsidRPr="00EA7926">
        <w:rPr>
          <w:rFonts w:ascii="Times New Roman" w:hAnsi="Times New Roman"/>
          <w:color w:val="000000"/>
          <w:sz w:val="24"/>
        </w:rPr>
        <w:t>С</w:t>
      </w:r>
      <w:r w:rsidRPr="00EA7926">
        <w:rPr>
          <w:rFonts w:ascii="Times New Roman" w:hAnsi="Times New Roman"/>
          <w:color w:val="000000"/>
          <w:sz w:val="24"/>
        </w:rPr>
        <w:t>тратегијата за реформа на јавната администрација треба да бидат зголемени бидејќи активностите во клучните реформи сè уште многу зависат од поддршката на донаторите.</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u w:val="single"/>
        </w:rPr>
        <w:t>Развој и координација на политики</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Воспоставени се правната рамка и институционалните структури за кохерентен </w:t>
      </w:r>
      <w:r w:rsidRPr="00EA7926">
        <w:rPr>
          <w:rFonts w:ascii="Times New Roman" w:hAnsi="Times New Roman"/>
          <w:b/>
          <w:color w:val="000000"/>
          <w:sz w:val="24"/>
        </w:rPr>
        <w:t>систем за креирање политики</w:t>
      </w:r>
      <w:r w:rsidRPr="00EA7926">
        <w:rPr>
          <w:rFonts w:ascii="Times New Roman" w:hAnsi="Times New Roman"/>
          <w:color w:val="000000"/>
          <w:sz w:val="24"/>
        </w:rPr>
        <w:t xml:space="preserve">. Меѓутоа, потребни се натамошни напори за разјаснување на одговорностите во институциите </w:t>
      </w:r>
      <w:r w:rsidR="00CD48B8">
        <w:rPr>
          <w:rFonts w:ascii="Times New Roman" w:hAnsi="Times New Roman"/>
          <w:color w:val="000000"/>
          <w:sz w:val="24"/>
        </w:rPr>
        <w:t>што</w:t>
      </w:r>
      <w:r w:rsidRPr="00EA7926">
        <w:rPr>
          <w:rFonts w:ascii="Times New Roman" w:hAnsi="Times New Roman"/>
          <w:color w:val="000000"/>
          <w:sz w:val="24"/>
        </w:rPr>
        <w:t xml:space="preserve"> ги креираат политиките за да се обезбеди нивно соодветно функционирање и да се </w:t>
      </w:r>
      <w:r w:rsidR="00B527CE" w:rsidRPr="00EA7926">
        <w:rPr>
          <w:rFonts w:ascii="Times New Roman" w:hAnsi="Times New Roman"/>
          <w:color w:val="000000"/>
          <w:sz w:val="24"/>
        </w:rPr>
        <w:t xml:space="preserve">рационализира </w:t>
      </w:r>
      <w:r w:rsidRPr="00EA7926">
        <w:rPr>
          <w:rFonts w:ascii="Times New Roman" w:hAnsi="Times New Roman"/>
          <w:color w:val="000000"/>
          <w:sz w:val="24"/>
        </w:rPr>
        <w:t>известување</w:t>
      </w:r>
      <w:r w:rsidR="00B527CE" w:rsidRPr="00EA7926">
        <w:rPr>
          <w:rFonts w:ascii="Times New Roman" w:hAnsi="Times New Roman"/>
          <w:color w:val="000000"/>
          <w:sz w:val="24"/>
        </w:rPr>
        <w:t>то</w:t>
      </w:r>
      <w:r w:rsidRPr="00EA7926">
        <w:rPr>
          <w:rFonts w:ascii="Times New Roman" w:hAnsi="Times New Roman"/>
          <w:color w:val="000000"/>
          <w:sz w:val="24"/>
        </w:rPr>
        <w:t xml:space="preserve">. Среднорочното буџетско планирање и фискалните политики се во согласност со </w:t>
      </w:r>
      <w:r w:rsidR="001450A9">
        <w:rPr>
          <w:rFonts w:ascii="Times New Roman" w:hAnsi="Times New Roman"/>
          <w:color w:val="000000"/>
          <w:sz w:val="24"/>
        </w:rPr>
        <w:t>стратешките</w:t>
      </w:r>
      <w:r w:rsidR="001450A9" w:rsidRPr="00EA7926">
        <w:rPr>
          <w:rFonts w:ascii="Times New Roman" w:hAnsi="Times New Roman"/>
          <w:color w:val="000000"/>
          <w:sz w:val="24"/>
        </w:rPr>
        <w:t xml:space="preserve"> </w:t>
      </w:r>
      <w:r w:rsidRPr="00EA7926">
        <w:rPr>
          <w:rFonts w:ascii="Times New Roman" w:hAnsi="Times New Roman"/>
          <w:color w:val="000000"/>
          <w:sz w:val="24"/>
        </w:rPr>
        <w:t xml:space="preserve">приоритети на Владата. Улогата на Генералниот секретаријат како централно тело за координација и контрола на квалитетот беше малку подобрена, но останува недоволна. Нема редовно ажурирање или извештаи за спроведувањето на националната програма за усвојување </w:t>
      </w:r>
      <w:r w:rsidR="00B527CE" w:rsidRPr="00EA7926">
        <w:rPr>
          <w:rFonts w:ascii="Times New Roman" w:hAnsi="Times New Roman"/>
          <w:color w:val="000000"/>
          <w:sz w:val="24"/>
        </w:rPr>
        <w:t xml:space="preserve">на </w:t>
      </w:r>
      <w:r w:rsidRPr="00E256EB">
        <w:rPr>
          <w:rFonts w:ascii="Times New Roman" w:hAnsi="Times New Roman"/>
          <w:color w:val="000000"/>
          <w:sz w:val="24"/>
        </w:rPr>
        <w:t>правото</w:t>
      </w:r>
      <w:r w:rsidRPr="00EA7926">
        <w:rPr>
          <w:rFonts w:ascii="Times New Roman" w:hAnsi="Times New Roman"/>
          <w:color w:val="000000"/>
          <w:sz w:val="24"/>
        </w:rPr>
        <w:t xml:space="preserve"> на ЕУ</w:t>
      </w:r>
      <w:r w:rsidR="00F94F59">
        <w:rPr>
          <w:rFonts w:ascii="Times New Roman" w:hAnsi="Times New Roman"/>
          <w:color w:val="000000"/>
          <w:sz w:val="24"/>
        </w:rPr>
        <w:t xml:space="preserve"> за периодот 2021-2025</w:t>
      </w:r>
      <w:r w:rsidRPr="00EA7926">
        <w:rPr>
          <w:rFonts w:ascii="Times New Roman" w:hAnsi="Times New Roman"/>
          <w:color w:val="000000"/>
          <w:sz w:val="24"/>
        </w:rPr>
        <w:t>.</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b/>
          <w:color w:val="000000"/>
          <w:sz w:val="24"/>
        </w:rPr>
        <w:t>Политиката заснована на докази и развојот на законодавството</w:t>
      </w:r>
      <w:r w:rsidRPr="00EA7926">
        <w:rPr>
          <w:rFonts w:ascii="Times New Roman" w:hAnsi="Times New Roman"/>
          <w:color w:val="000000"/>
          <w:sz w:val="24"/>
        </w:rPr>
        <w:t xml:space="preserve"> се делумно успешни. Меѓутоа, одредени делови од донесеното законодавство, како што е Законот за изградба на коридорите VIII и </w:t>
      </w:r>
      <w:r w:rsidR="008D3A90" w:rsidRPr="00EA7926">
        <w:rPr>
          <w:rFonts w:ascii="Times New Roman" w:hAnsi="Times New Roman"/>
          <w:color w:val="000000"/>
          <w:sz w:val="24"/>
        </w:rPr>
        <w:t>X</w:t>
      </w:r>
      <w:r w:rsidR="00046B70">
        <w:rPr>
          <w:rFonts w:ascii="Times New Roman" w:hAnsi="Times New Roman"/>
          <w:color w:val="000000"/>
          <w:sz w:val="24"/>
        </w:rPr>
        <w:t>-</w:t>
      </w:r>
      <w:r w:rsidR="008D3A90" w:rsidRPr="00EA7926">
        <w:rPr>
          <w:rFonts w:ascii="Times New Roman" w:hAnsi="Times New Roman"/>
          <w:color w:val="000000"/>
          <w:sz w:val="24"/>
        </w:rPr>
        <w:t>d</w:t>
      </w:r>
      <w:r w:rsidRPr="00EA7926">
        <w:rPr>
          <w:rFonts w:ascii="Times New Roman" w:hAnsi="Times New Roman"/>
          <w:color w:val="000000"/>
          <w:sz w:val="24"/>
        </w:rPr>
        <w:t xml:space="preserve">, кој треба да биде спроведен од </w:t>
      </w:r>
      <w:r w:rsidR="008902AE">
        <w:rPr>
          <w:rFonts w:ascii="Times New Roman" w:hAnsi="Times New Roman"/>
          <w:color w:val="000000"/>
          <w:sz w:val="24"/>
        </w:rPr>
        <w:t>„</w:t>
      </w:r>
      <w:r w:rsidRPr="00EA7926">
        <w:rPr>
          <w:rFonts w:ascii="Times New Roman" w:hAnsi="Times New Roman"/>
          <w:color w:val="000000"/>
          <w:sz w:val="24"/>
        </w:rPr>
        <w:t xml:space="preserve">Бехтел </w:t>
      </w:r>
      <w:r w:rsidR="008902AE">
        <w:rPr>
          <w:rFonts w:ascii="Times New Roman" w:hAnsi="Times New Roman"/>
          <w:color w:val="000000"/>
          <w:sz w:val="24"/>
        </w:rPr>
        <w:t xml:space="preserve">и </w:t>
      </w:r>
      <w:r w:rsidRPr="00EA7926">
        <w:rPr>
          <w:rFonts w:ascii="Times New Roman" w:hAnsi="Times New Roman"/>
          <w:color w:val="000000"/>
          <w:sz w:val="24"/>
        </w:rPr>
        <w:t>Енка</w:t>
      </w:r>
      <w:r w:rsidR="008902AE">
        <w:rPr>
          <w:rFonts w:ascii="Times New Roman" w:hAnsi="Times New Roman"/>
          <w:color w:val="000000"/>
          <w:sz w:val="24"/>
        </w:rPr>
        <w:t>“</w:t>
      </w:r>
      <w:r w:rsidRPr="00EA7926">
        <w:rPr>
          <w:rFonts w:ascii="Times New Roman" w:hAnsi="Times New Roman"/>
          <w:color w:val="000000"/>
          <w:sz w:val="24"/>
        </w:rPr>
        <w:t xml:space="preserve">, е во конфликт со делови од правната рамка и меѓународните обврски. Многу институции сè уште ги немаат дигитализирано своите регистри. Споделувањето административни податоци треба да </w:t>
      </w:r>
      <w:r w:rsidR="008B1EFA" w:rsidRPr="00EA7926">
        <w:rPr>
          <w:rFonts w:ascii="Times New Roman" w:hAnsi="Times New Roman"/>
          <w:color w:val="000000"/>
          <w:sz w:val="24"/>
        </w:rPr>
        <w:t xml:space="preserve">се </w:t>
      </w:r>
      <w:r w:rsidRPr="00EA7926">
        <w:rPr>
          <w:rFonts w:ascii="Times New Roman" w:hAnsi="Times New Roman"/>
          <w:color w:val="000000"/>
          <w:sz w:val="24"/>
        </w:rPr>
        <w:t>прошир</w:t>
      </w:r>
      <w:r w:rsidR="008B1EFA" w:rsidRPr="00EA7926">
        <w:rPr>
          <w:rFonts w:ascii="Times New Roman" w:hAnsi="Times New Roman"/>
          <w:color w:val="000000"/>
          <w:sz w:val="24"/>
        </w:rPr>
        <w:t>и</w:t>
      </w:r>
      <w:r w:rsidRPr="00EA7926">
        <w:rPr>
          <w:rFonts w:ascii="Times New Roman" w:hAnsi="Times New Roman"/>
          <w:color w:val="000000"/>
          <w:sz w:val="24"/>
        </w:rPr>
        <w:t xml:space="preserve"> и податоците треба да </w:t>
      </w:r>
      <w:r w:rsidR="008B1EFA" w:rsidRPr="00EA7926">
        <w:rPr>
          <w:rFonts w:ascii="Times New Roman" w:hAnsi="Times New Roman"/>
          <w:color w:val="000000"/>
          <w:sz w:val="24"/>
        </w:rPr>
        <w:t xml:space="preserve">се </w:t>
      </w:r>
      <w:r w:rsidRPr="00EA7926">
        <w:rPr>
          <w:rFonts w:ascii="Times New Roman" w:hAnsi="Times New Roman"/>
          <w:color w:val="000000"/>
          <w:sz w:val="24"/>
        </w:rPr>
        <w:t>поедностав</w:t>
      </w:r>
      <w:r w:rsidR="008B1EFA" w:rsidRPr="00EA7926">
        <w:rPr>
          <w:rFonts w:ascii="Times New Roman" w:hAnsi="Times New Roman"/>
          <w:color w:val="000000"/>
          <w:sz w:val="24"/>
        </w:rPr>
        <w:t>ат</w:t>
      </w:r>
      <w:r w:rsidRPr="00EA7926">
        <w:rPr>
          <w:rFonts w:ascii="Times New Roman" w:hAnsi="Times New Roman"/>
          <w:color w:val="000000"/>
          <w:sz w:val="24"/>
        </w:rPr>
        <w:t xml:space="preserve"> со цел подобро да се информира процесот на креирање политики и ново законодавство. Процените на регулат</w:t>
      </w:r>
      <w:r w:rsidR="008B1EFA" w:rsidRPr="00EA7926">
        <w:rPr>
          <w:rFonts w:ascii="Times New Roman" w:hAnsi="Times New Roman"/>
          <w:color w:val="000000"/>
          <w:sz w:val="24"/>
        </w:rPr>
        <w:t>ив</w:t>
      </w:r>
      <w:r w:rsidRPr="00EA7926">
        <w:rPr>
          <w:rFonts w:ascii="Times New Roman" w:hAnsi="Times New Roman"/>
          <w:color w:val="000000"/>
          <w:sz w:val="24"/>
        </w:rPr>
        <w:t>ното влијание продолжија да се спроведуваат само како формалност, а не и како процена за потенцијалното влијание што би го имале новите закони. Продолжија напорите за да се подобрат употребата и квалитетот на процените на влијанието на регулативата, а особено процените на буџетското влијание. Сепак, Министерството за информатичко општество и администрација нема доволно ресурси за да обезбеди ефективна и постојана контрола на квалитетот.</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Националниот систем за електронски консултации овозможува инклузивно учество на сите засегнати страни во </w:t>
      </w:r>
      <w:r w:rsidRPr="00EA7926">
        <w:rPr>
          <w:rFonts w:ascii="Times New Roman" w:hAnsi="Times New Roman"/>
          <w:b/>
          <w:color w:val="000000"/>
          <w:sz w:val="24"/>
        </w:rPr>
        <w:t>јавните консултации</w:t>
      </w:r>
      <w:r w:rsidRPr="00E256EB">
        <w:rPr>
          <w:rFonts w:ascii="Times New Roman" w:hAnsi="Times New Roman"/>
          <w:color w:val="000000"/>
          <w:sz w:val="24"/>
        </w:rPr>
        <w:t>.</w:t>
      </w:r>
      <w:r w:rsidRPr="00EA7926">
        <w:rPr>
          <w:rFonts w:ascii="Times New Roman" w:hAnsi="Times New Roman"/>
          <w:color w:val="000000"/>
          <w:sz w:val="24"/>
        </w:rPr>
        <w:t xml:space="preserve"> </w:t>
      </w:r>
      <w:r w:rsidRPr="00EA7926">
        <w:rPr>
          <w:rFonts w:ascii="Times New Roman" w:hAnsi="Times New Roman"/>
          <w:sz w:val="24"/>
        </w:rPr>
        <w:t xml:space="preserve">Сепак, неговиот целосен потенцијал е неискористен, особено од граѓаните и </w:t>
      </w:r>
      <w:r w:rsidR="00E4096E">
        <w:rPr>
          <w:rFonts w:ascii="Times New Roman" w:hAnsi="Times New Roman"/>
          <w:sz w:val="24"/>
        </w:rPr>
        <w:t xml:space="preserve">од </w:t>
      </w:r>
      <w:r w:rsidRPr="00EA7926">
        <w:rPr>
          <w:rFonts w:ascii="Times New Roman" w:hAnsi="Times New Roman"/>
          <w:sz w:val="24"/>
        </w:rPr>
        <w:t>бизнисите.</w:t>
      </w:r>
      <w:r w:rsidRPr="00EA7926">
        <w:rPr>
          <w:rFonts w:ascii="Times New Roman" w:hAnsi="Times New Roman"/>
          <w:color w:val="000000"/>
          <w:sz w:val="24"/>
        </w:rPr>
        <w:t xml:space="preserve"> Треба да се подобри контролата на квалитетот и следењето на консултативниот процес со јавноста. Бројот на закони донесени по скратена постапка</w:t>
      </w:r>
      <w:r w:rsidR="0021424C">
        <w:rPr>
          <w:rFonts w:ascii="Times New Roman" w:hAnsi="Times New Roman"/>
          <w:color w:val="000000"/>
          <w:sz w:val="24"/>
        </w:rPr>
        <w:t>,</w:t>
      </w:r>
      <w:r w:rsidRPr="00EA7926">
        <w:rPr>
          <w:rFonts w:ascii="Times New Roman" w:hAnsi="Times New Roman"/>
          <w:color w:val="000000"/>
          <w:sz w:val="24"/>
        </w:rPr>
        <w:t xml:space="preserve"> </w:t>
      </w:r>
      <w:r w:rsidR="00D10E2B" w:rsidRPr="00EA7926">
        <w:rPr>
          <w:rFonts w:ascii="Times New Roman" w:hAnsi="Times New Roman"/>
          <w:color w:val="000000"/>
          <w:sz w:val="24"/>
        </w:rPr>
        <w:t>во 2022 година</w:t>
      </w:r>
      <w:r w:rsidR="00D10E2B">
        <w:rPr>
          <w:rFonts w:ascii="Times New Roman" w:hAnsi="Times New Roman"/>
          <w:color w:val="000000"/>
          <w:sz w:val="24"/>
        </w:rPr>
        <w:t xml:space="preserve"> </w:t>
      </w:r>
      <w:r w:rsidRPr="00EA7926">
        <w:rPr>
          <w:rFonts w:ascii="Times New Roman" w:hAnsi="Times New Roman"/>
          <w:color w:val="000000"/>
          <w:sz w:val="24"/>
        </w:rPr>
        <w:t>се зголеми на 58</w:t>
      </w:r>
      <w:r w:rsidR="0089059D">
        <w:rPr>
          <w:rFonts w:ascii="Times New Roman" w:hAnsi="Times New Roman"/>
          <w:color w:val="000000"/>
          <w:sz w:val="24"/>
        </w:rPr>
        <w:t xml:space="preserve"> </w:t>
      </w:r>
      <w:r w:rsidR="00AF05B3">
        <w:rPr>
          <w:rFonts w:ascii="Times New Roman" w:hAnsi="Times New Roman"/>
          <w:color w:val="000000"/>
          <w:sz w:val="24"/>
        </w:rPr>
        <w:t>%</w:t>
      </w:r>
      <w:r w:rsidRPr="00EA7926">
        <w:rPr>
          <w:rFonts w:ascii="Times New Roman" w:hAnsi="Times New Roman"/>
          <w:color w:val="000000"/>
          <w:sz w:val="24"/>
        </w:rPr>
        <w:t xml:space="preserve">. Овие закони не претрпеа соодветен процес на јавна консултација и не беа редовно поткрепени со процени на влијанието. Треба да се подобри квалитетот на подготовката на законодавството. Честите законски измени создаваат правна несигурност и го попречуваат правилното спроведување. Продолжи злоупотребата на постапката за користење на „европското знаменце“. „Европското знаменце“ треба да се користи кога е директно поврзано со донесувањето закони чија главна цел е усогласување со </w:t>
      </w:r>
      <w:r w:rsidRPr="00EA7926">
        <w:rPr>
          <w:rFonts w:ascii="Times New Roman" w:hAnsi="Times New Roman"/>
          <w:i/>
          <w:color w:val="000000"/>
          <w:sz w:val="24"/>
        </w:rPr>
        <w:t>правото</w:t>
      </w:r>
      <w:r w:rsidRPr="00EA7926">
        <w:rPr>
          <w:rFonts w:ascii="Times New Roman" w:hAnsi="Times New Roman"/>
          <w:color w:val="000000"/>
          <w:sz w:val="24"/>
        </w:rPr>
        <w:t xml:space="preserve"> на ЕУ (</w:t>
      </w:r>
      <w:r w:rsidRPr="00EA7926">
        <w:rPr>
          <w:rFonts w:ascii="Times New Roman" w:hAnsi="Times New Roman"/>
          <w:i/>
          <w:iCs/>
          <w:color w:val="000000"/>
          <w:sz w:val="24"/>
        </w:rPr>
        <w:t>вид</w:t>
      </w:r>
      <w:r w:rsidR="00AE33AF" w:rsidRPr="00EA7926">
        <w:rPr>
          <w:rFonts w:ascii="Times New Roman" w:hAnsi="Times New Roman"/>
          <w:i/>
          <w:iCs/>
          <w:color w:val="000000"/>
          <w:sz w:val="24"/>
        </w:rPr>
        <w:t>ете</w:t>
      </w:r>
      <w:r w:rsidRPr="00EA7926">
        <w:rPr>
          <w:rFonts w:ascii="Times New Roman" w:hAnsi="Times New Roman"/>
          <w:i/>
          <w:iCs/>
          <w:color w:val="000000"/>
          <w:sz w:val="24"/>
        </w:rPr>
        <w:t xml:space="preserve"> 2.1.1 Демократија).</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b/>
          <w:bCs/>
          <w:color w:val="000000"/>
          <w:sz w:val="24"/>
        </w:rPr>
        <w:t xml:space="preserve">Јавната контрола врз работата на </w:t>
      </w:r>
      <w:r w:rsidR="00704F81">
        <w:rPr>
          <w:rFonts w:ascii="Times New Roman" w:hAnsi="Times New Roman"/>
          <w:b/>
          <w:bCs/>
          <w:color w:val="000000"/>
          <w:sz w:val="24"/>
        </w:rPr>
        <w:t>В</w:t>
      </w:r>
      <w:r w:rsidRPr="00EA7926">
        <w:rPr>
          <w:rFonts w:ascii="Times New Roman" w:hAnsi="Times New Roman"/>
          <w:b/>
          <w:bCs/>
          <w:color w:val="000000"/>
          <w:sz w:val="24"/>
        </w:rPr>
        <w:t>ладата</w:t>
      </w:r>
      <w:r w:rsidRPr="00EA7926">
        <w:rPr>
          <w:rFonts w:ascii="Times New Roman" w:hAnsi="Times New Roman"/>
          <w:color w:val="000000"/>
          <w:sz w:val="24"/>
        </w:rPr>
        <w:t xml:space="preserve"> е поткрепена со редовни владини соопштенија за медиуми. Меѓутоа, </w:t>
      </w:r>
      <w:r w:rsidR="00AE33AF" w:rsidRPr="00EA7926">
        <w:rPr>
          <w:rFonts w:ascii="Times New Roman" w:hAnsi="Times New Roman"/>
          <w:color w:val="000000"/>
          <w:sz w:val="24"/>
        </w:rPr>
        <w:t>повремено се доцне</w:t>
      </w:r>
      <w:r w:rsidR="00D10E2B">
        <w:rPr>
          <w:rFonts w:ascii="Times New Roman" w:hAnsi="Times New Roman"/>
          <w:color w:val="000000"/>
          <w:sz w:val="24"/>
        </w:rPr>
        <w:t>ше</w:t>
      </w:r>
      <w:r w:rsidR="00AE33AF" w:rsidRPr="00EA7926">
        <w:rPr>
          <w:rFonts w:ascii="Times New Roman" w:hAnsi="Times New Roman"/>
          <w:color w:val="000000"/>
          <w:sz w:val="24"/>
        </w:rPr>
        <w:t xml:space="preserve"> со </w:t>
      </w:r>
      <w:r w:rsidRPr="00EA7926">
        <w:rPr>
          <w:rFonts w:ascii="Times New Roman" w:hAnsi="Times New Roman"/>
          <w:color w:val="000000"/>
          <w:sz w:val="24"/>
        </w:rPr>
        <w:t xml:space="preserve">објавувањето на дневниот ред и </w:t>
      </w:r>
      <w:r w:rsidR="003D0E0B">
        <w:rPr>
          <w:rFonts w:ascii="Times New Roman" w:hAnsi="Times New Roman"/>
          <w:color w:val="000000"/>
          <w:sz w:val="24"/>
        </w:rPr>
        <w:t xml:space="preserve">на </w:t>
      </w:r>
      <w:r w:rsidRPr="00EA7926">
        <w:rPr>
          <w:rFonts w:ascii="Times New Roman" w:hAnsi="Times New Roman"/>
          <w:color w:val="000000"/>
          <w:sz w:val="24"/>
        </w:rPr>
        <w:t xml:space="preserve">записниците </w:t>
      </w:r>
      <w:r w:rsidR="00AE33AF" w:rsidRPr="00EA7926">
        <w:rPr>
          <w:rFonts w:ascii="Times New Roman" w:hAnsi="Times New Roman"/>
          <w:color w:val="000000"/>
          <w:sz w:val="24"/>
        </w:rPr>
        <w:t xml:space="preserve">од </w:t>
      </w:r>
      <w:r w:rsidRPr="00EA7926">
        <w:rPr>
          <w:rFonts w:ascii="Times New Roman" w:hAnsi="Times New Roman"/>
          <w:color w:val="000000"/>
          <w:sz w:val="24"/>
        </w:rPr>
        <w:t>владините седници. Документите донесени на владините седници</w:t>
      </w:r>
      <w:r w:rsidR="006546D7">
        <w:rPr>
          <w:rFonts w:ascii="Times New Roman" w:hAnsi="Times New Roman"/>
          <w:color w:val="000000"/>
          <w:sz w:val="24"/>
        </w:rPr>
        <w:t>,</w:t>
      </w:r>
      <w:r w:rsidRPr="00EA7926">
        <w:rPr>
          <w:rFonts w:ascii="Times New Roman" w:hAnsi="Times New Roman"/>
          <w:color w:val="000000"/>
          <w:sz w:val="24"/>
        </w:rPr>
        <w:t xml:space="preserve"> не се објавуваат доследно. Освен тоа, Владата не ги објави</w:t>
      </w:r>
      <w:r w:rsidR="00AE33AF" w:rsidRPr="00EA7926">
        <w:rPr>
          <w:rFonts w:ascii="Times New Roman" w:hAnsi="Times New Roman"/>
          <w:color w:val="000000"/>
          <w:sz w:val="24"/>
        </w:rPr>
        <w:t>ла</w:t>
      </w:r>
      <w:r w:rsidRPr="00EA7926">
        <w:rPr>
          <w:rFonts w:ascii="Times New Roman" w:hAnsi="Times New Roman"/>
          <w:color w:val="000000"/>
          <w:sz w:val="24"/>
        </w:rPr>
        <w:t xml:space="preserve"> годишните извештаи за својата работа за 2020, 2021 и 2022</w:t>
      </w:r>
      <w:r w:rsidR="00AE33AF" w:rsidRPr="00EA7926">
        <w:rPr>
          <w:rFonts w:ascii="Times New Roman" w:hAnsi="Times New Roman"/>
          <w:color w:val="000000"/>
          <w:sz w:val="24"/>
        </w:rPr>
        <w:t xml:space="preserve"> година</w:t>
      </w:r>
      <w:r w:rsidRPr="00EA7926">
        <w:rPr>
          <w:rFonts w:ascii="Times New Roman" w:hAnsi="Times New Roman"/>
          <w:color w:val="000000"/>
          <w:sz w:val="24"/>
        </w:rPr>
        <w:t>.</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u w:val="single"/>
        </w:rPr>
        <w:t>Управување со јавните финансии</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Во јуни 2022 година </w:t>
      </w:r>
      <w:r w:rsidR="0008275C">
        <w:rPr>
          <w:rFonts w:ascii="Times New Roman" w:hAnsi="Times New Roman"/>
          <w:color w:val="000000"/>
          <w:sz w:val="24"/>
        </w:rPr>
        <w:t>В</w:t>
      </w:r>
      <w:r w:rsidRPr="00EA7926">
        <w:rPr>
          <w:rFonts w:ascii="Times New Roman" w:hAnsi="Times New Roman"/>
          <w:color w:val="000000"/>
          <w:sz w:val="24"/>
        </w:rPr>
        <w:t xml:space="preserve">ладата донесе </w:t>
      </w:r>
      <w:r w:rsidRPr="00EA7926">
        <w:rPr>
          <w:rFonts w:ascii="Times New Roman" w:hAnsi="Times New Roman"/>
          <w:b/>
          <w:bCs/>
          <w:color w:val="000000"/>
          <w:sz w:val="24"/>
        </w:rPr>
        <w:t xml:space="preserve">нова </w:t>
      </w:r>
      <w:r w:rsidR="00A039A0">
        <w:rPr>
          <w:rFonts w:ascii="Times New Roman" w:hAnsi="Times New Roman"/>
          <w:b/>
          <w:bCs/>
          <w:color w:val="000000"/>
          <w:sz w:val="24"/>
        </w:rPr>
        <w:t>П</w:t>
      </w:r>
      <w:r w:rsidRPr="00EA7926">
        <w:rPr>
          <w:rFonts w:ascii="Times New Roman" w:hAnsi="Times New Roman"/>
          <w:b/>
          <w:bCs/>
          <w:color w:val="000000"/>
          <w:sz w:val="24"/>
        </w:rPr>
        <w:t>рограма за реформа во управувањето со јавните финансии</w:t>
      </w:r>
      <w:r w:rsidRPr="00EA7926">
        <w:rPr>
          <w:rFonts w:ascii="Times New Roman" w:hAnsi="Times New Roman"/>
          <w:color w:val="000000"/>
          <w:sz w:val="24"/>
        </w:rPr>
        <w:t xml:space="preserve"> за 2022-2025. Програмата е составена од осум </w:t>
      </w:r>
      <w:r w:rsidR="00DF6D03">
        <w:rPr>
          <w:rFonts w:ascii="Times New Roman" w:hAnsi="Times New Roman"/>
          <w:color w:val="000000"/>
          <w:sz w:val="24"/>
        </w:rPr>
        <w:t>столба</w:t>
      </w:r>
      <w:r w:rsidRPr="00EA7926">
        <w:rPr>
          <w:rFonts w:ascii="Times New Roman" w:hAnsi="Times New Roman"/>
          <w:color w:val="000000"/>
          <w:sz w:val="24"/>
        </w:rPr>
        <w:t xml:space="preserve">. Во април 2023 година, </w:t>
      </w:r>
      <w:r w:rsidR="0008275C">
        <w:rPr>
          <w:rFonts w:ascii="Times New Roman" w:hAnsi="Times New Roman"/>
          <w:color w:val="000000"/>
          <w:sz w:val="24"/>
        </w:rPr>
        <w:t>В</w:t>
      </w:r>
      <w:r w:rsidRPr="00EA7926">
        <w:rPr>
          <w:rFonts w:ascii="Times New Roman" w:hAnsi="Times New Roman"/>
          <w:color w:val="000000"/>
          <w:sz w:val="24"/>
        </w:rPr>
        <w:t xml:space="preserve">ладата го објави својот прв годишен извештај за надзор за 2022 година и нацрт </w:t>
      </w:r>
      <w:r w:rsidR="00B9372E">
        <w:rPr>
          <w:rFonts w:ascii="Times New Roman" w:hAnsi="Times New Roman"/>
          <w:color w:val="000000"/>
          <w:sz w:val="24"/>
        </w:rPr>
        <w:t xml:space="preserve">на </w:t>
      </w:r>
      <w:r w:rsidRPr="00EA7926">
        <w:rPr>
          <w:rFonts w:ascii="Times New Roman" w:hAnsi="Times New Roman"/>
          <w:color w:val="000000"/>
          <w:sz w:val="24"/>
        </w:rPr>
        <w:t xml:space="preserve">акциски план за 2023 година. </w:t>
      </w:r>
      <w:r w:rsidR="00996E1E" w:rsidRPr="00EA7926">
        <w:rPr>
          <w:rFonts w:ascii="Times New Roman" w:hAnsi="Times New Roman"/>
          <w:color w:val="000000"/>
          <w:sz w:val="24"/>
        </w:rPr>
        <w:t>И</w:t>
      </w:r>
      <w:r w:rsidRPr="00EA7926">
        <w:rPr>
          <w:rFonts w:ascii="Times New Roman" w:hAnsi="Times New Roman"/>
          <w:color w:val="000000"/>
          <w:sz w:val="24"/>
        </w:rPr>
        <w:t>звештај</w:t>
      </w:r>
      <w:r w:rsidR="004533FE" w:rsidRPr="00EA7926">
        <w:rPr>
          <w:rFonts w:ascii="Times New Roman" w:hAnsi="Times New Roman"/>
          <w:color w:val="000000"/>
          <w:sz w:val="24"/>
        </w:rPr>
        <w:t>от</w:t>
      </w:r>
      <w:r w:rsidRPr="00EA7926">
        <w:rPr>
          <w:rFonts w:ascii="Times New Roman" w:hAnsi="Times New Roman"/>
          <w:color w:val="000000"/>
          <w:sz w:val="24"/>
        </w:rPr>
        <w:t xml:space="preserve"> </w:t>
      </w:r>
      <w:r w:rsidR="00996E1E" w:rsidRPr="00EA7926">
        <w:rPr>
          <w:rFonts w:ascii="Times New Roman" w:hAnsi="Times New Roman"/>
          <w:color w:val="000000"/>
          <w:sz w:val="24"/>
        </w:rPr>
        <w:t xml:space="preserve">укажува на </w:t>
      </w:r>
      <w:r w:rsidR="00831A49">
        <w:rPr>
          <w:rFonts w:ascii="Times New Roman" w:hAnsi="Times New Roman"/>
          <w:color w:val="000000"/>
          <w:sz w:val="24"/>
        </w:rPr>
        <w:t>слабо спроведување</w:t>
      </w:r>
      <w:r w:rsidRPr="00EA7926">
        <w:rPr>
          <w:rFonts w:ascii="Times New Roman" w:hAnsi="Times New Roman"/>
          <w:color w:val="000000"/>
          <w:sz w:val="24"/>
        </w:rPr>
        <w:t xml:space="preserve"> и резултати, со што се сугерира дека планирањето треба да биде пореално.</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Во септември 2022 година Собранието го донесе Законот за буџет</w:t>
      </w:r>
      <w:r w:rsidR="00996EC8" w:rsidRPr="00EA7926">
        <w:rPr>
          <w:rFonts w:ascii="Times New Roman" w:hAnsi="Times New Roman"/>
          <w:color w:val="000000"/>
          <w:sz w:val="24"/>
        </w:rPr>
        <w:t>и</w:t>
      </w:r>
      <w:r w:rsidRPr="00EA7926">
        <w:rPr>
          <w:rFonts w:ascii="Times New Roman" w:hAnsi="Times New Roman"/>
          <w:color w:val="000000"/>
          <w:sz w:val="24"/>
        </w:rPr>
        <w:t xml:space="preserve">. Законот нуди правна рамка за неколку клучни реформи во управувањето со јавните финансии, вклучително и зацврстување на подготовката на среднорочниот буџет, ревизија на класификациите во буџетот и воспоставување Интегриран информатички систем за финансиско управување. Законот за буџет, исто така, има за цел фискалната стратегија да </w:t>
      </w:r>
      <w:r w:rsidR="00996EC8" w:rsidRPr="00EA7926">
        <w:rPr>
          <w:rFonts w:ascii="Times New Roman" w:hAnsi="Times New Roman"/>
          <w:color w:val="000000"/>
          <w:sz w:val="24"/>
        </w:rPr>
        <w:t xml:space="preserve">биде </w:t>
      </w:r>
      <w:r w:rsidRPr="00EA7926">
        <w:rPr>
          <w:rFonts w:ascii="Times New Roman" w:hAnsi="Times New Roman"/>
          <w:color w:val="000000"/>
          <w:sz w:val="24"/>
        </w:rPr>
        <w:t xml:space="preserve">посеопфатна и да развие поширок систем за следење на фискалните ризици, вклучително и оние на државните претпријатија и </w:t>
      </w:r>
      <w:r w:rsidR="005117E4">
        <w:rPr>
          <w:rFonts w:ascii="Times New Roman" w:hAnsi="Times New Roman"/>
          <w:color w:val="000000"/>
          <w:sz w:val="24"/>
        </w:rPr>
        <w:t xml:space="preserve">на </w:t>
      </w:r>
      <w:r w:rsidRPr="00EA7926">
        <w:rPr>
          <w:rFonts w:ascii="Times New Roman" w:hAnsi="Times New Roman"/>
          <w:color w:val="000000"/>
          <w:sz w:val="24"/>
        </w:rPr>
        <w:t>општините. Агендата за реформи во управување со јавните финансии доби извесна динамика по носењето на Законот за буџет</w:t>
      </w:r>
      <w:r w:rsidR="00996EC8" w:rsidRPr="00EA7926">
        <w:rPr>
          <w:rFonts w:ascii="Times New Roman" w:hAnsi="Times New Roman"/>
          <w:color w:val="000000"/>
          <w:sz w:val="24"/>
        </w:rPr>
        <w:t>и</w:t>
      </w:r>
      <w:r w:rsidRPr="00EA7926">
        <w:rPr>
          <w:rFonts w:ascii="Times New Roman" w:hAnsi="Times New Roman"/>
          <w:color w:val="000000"/>
          <w:sz w:val="24"/>
        </w:rPr>
        <w:t>, но во неколку клучни реформски области напредокот е сè уште бавен.</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Министерството за финансии продолжи да ја подобрува </w:t>
      </w:r>
      <w:r w:rsidRPr="00E256EB">
        <w:rPr>
          <w:rFonts w:ascii="Times New Roman" w:hAnsi="Times New Roman"/>
          <w:b/>
          <w:bCs/>
          <w:color w:val="000000"/>
          <w:sz w:val="24"/>
        </w:rPr>
        <w:t>транспарентноста</w:t>
      </w:r>
      <w:r w:rsidRPr="00EA7926">
        <w:rPr>
          <w:rFonts w:ascii="Times New Roman" w:hAnsi="Times New Roman"/>
          <w:color w:val="000000"/>
          <w:sz w:val="24"/>
        </w:rPr>
        <w:t xml:space="preserve"> на управувањето со јавни финансии преку квартално објавување податоци за приходите и </w:t>
      </w:r>
      <w:r w:rsidR="00142786">
        <w:rPr>
          <w:rFonts w:ascii="Times New Roman" w:hAnsi="Times New Roman"/>
          <w:color w:val="000000"/>
          <w:sz w:val="24"/>
        </w:rPr>
        <w:t xml:space="preserve">за </w:t>
      </w:r>
      <w:r w:rsidRPr="00EA7926">
        <w:rPr>
          <w:rFonts w:ascii="Times New Roman" w:hAnsi="Times New Roman"/>
          <w:color w:val="000000"/>
          <w:sz w:val="24"/>
        </w:rPr>
        <w:t xml:space="preserve">расходите на јавните институции, </w:t>
      </w:r>
      <w:r w:rsidR="00587EB0">
        <w:rPr>
          <w:rFonts w:ascii="Times New Roman" w:hAnsi="Times New Roman"/>
          <w:color w:val="000000"/>
          <w:sz w:val="24"/>
        </w:rPr>
        <w:t xml:space="preserve">на </w:t>
      </w:r>
      <w:r w:rsidRPr="00EA7926">
        <w:rPr>
          <w:rFonts w:ascii="Times New Roman" w:hAnsi="Times New Roman"/>
          <w:color w:val="000000"/>
          <w:sz w:val="24"/>
        </w:rPr>
        <w:t>локалните вла</w:t>
      </w:r>
      <w:r w:rsidR="00996EC8" w:rsidRPr="00EA7926">
        <w:rPr>
          <w:rFonts w:ascii="Times New Roman" w:hAnsi="Times New Roman"/>
          <w:color w:val="000000"/>
          <w:sz w:val="24"/>
        </w:rPr>
        <w:t>д</w:t>
      </w:r>
      <w:r w:rsidRPr="00EA7926">
        <w:rPr>
          <w:rFonts w:ascii="Times New Roman" w:hAnsi="Times New Roman"/>
          <w:color w:val="000000"/>
          <w:sz w:val="24"/>
        </w:rPr>
        <w:t xml:space="preserve">и и </w:t>
      </w:r>
      <w:r w:rsidR="00587EB0">
        <w:rPr>
          <w:rFonts w:ascii="Times New Roman" w:hAnsi="Times New Roman"/>
          <w:color w:val="000000"/>
          <w:sz w:val="24"/>
        </w:rPr>
        <w:t xml:space="preserve">на </w:t>
      </w:r>
      <w:r w:rsidRPr="00EA7926">
        <w:rPr>
          <w:rFonts w:ascii="Times New Roman" w:hAnsi="Times New Roman"/>
          <w:color w:val="000000"/>
          <w:sz w:val="24"/>
        </w:rPr>
        <w:t xml:space="preserve">државните компании. Капацитетот на човечките ресурси во Министерството за финансии </w:t>
      </w:r>
      <w:r w:rsidR="004A1128">
        <w:rPr>
          <w:rFonts w:ascii="Times New Roman" w:hAnsi="Times New Roman"/>
          <w:color w:val="000000"/>
          <w:sz w:val="24"/>
        </w:rPr>
        <w:t>с</w:t>
      </w:r>
      <w:r w:rsidR="004A1128" w:rsidRPr="00E256EB">
        <w:rPr>
          <w:rFonts w:ascii="Times New Roman" w:hAnsi="Times New Roman"/>
          <w:color w:val="000000"/>
          <w:sz w:val="24"/>
          <w:lang w:val="ru-RU"/>
        </w:rPr>
        <w:t xml:space="preserve">è </w:t>
      </w:r>
      <w:r w:rsidR="00996EC8" w:rsidRPr="00EA7926">
        <w:rPr>
          <w:rFonts w:ascii="Times New Roman" w:hAnsi="Times New Roman"/>
          <w:color w:val="000000"/>
          <w:sz w:val="24"/>
        </w:rPr>
        <w:t xml:space="preserve">уште е </w:t>
      </w:r>
      <w:r w:rsidRPr="00EA7926">
        <w:rPr>
          <w:rFonts w:ascii="Times New Roman" w:hAnsi="Times New Roman"/>
          <w:color w:val="000000"/>
          <w:sz w:val="24"/>
        </w:rPr>
        <w:t>ограничен.</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Министерството за финансии мора да вложи дополнителни напори </w:t>
      </w:r>
      <w:r w:rsidR="00086114" w:rsidRPr="00EA7926">
        <w:rPr>
          <w:rFonts w:ascii="Times New Roman" w:hAnsi="Times New Roman"/>
          <w:color w:val="000000"/>
          <w:sz w:val="24"/>
        </w:rPr>
        <w:t xml:space="preserve">за да го </w:t>
      </w:r>
      <w:r w:rsidRPr="00EA7926">
        <w:rPr>
          <w:rFonts w:ascii="Times New Roman" w:hAnsi="Times New Roman"/>
          <w:color w:val="000000"/>
          <w:sz w:val="24"/>
        </w:rPr>
        <w:t>зголем</w:t>
      </w:r>
      <w:r w:rsidR="00086114" w:rsidRPr="00EA7926">
        <w:rPr>
          <w:rFonts w:ascii="Times New Roman" w:hAnsi="Times New Roman"/>
          <w:color w:val="000000"/>
          <w:sz w:val="24"/>
        </w:rPr>
        <w:t>и</w:t>
      </w:r>
      <w:r w:rsidRPr="00EA7926">
        <w:rPr>
          <w:rFonts w:ascii="Times New Roman" w:hAnsi="Times New Roman"/>
          <w:color w:val="000000"/>
          <w:sz w:val="24"/>
        </w:rPr>
        <w:t xml:space="preserve"> учеството на јавноста во секоја фаза на подготовка, извршување и известување за буџетот. Буџетската транспарентност и </w:t>
      </w:r>
      <w:r w:rsidRPr="00E256EB">
        <w:rPr>
          <w:rFonts w:ascii="Times New Roman" w:hAnsi="Times New Roman"/>
          <w:b/>
          <w:bCs/>
          <w:color w:val="000000"/>
          <w:sz w:val="24"/>
        </w:rPr>
        <w:t>ефективноста на јавното трошење</w:t>
      </w:r>
      <w:r w:rsidRPr="00EA7926">
        <w:rPr>
          <w:rFonts w:ascii="Times New Roman" w:hAnsi="Times New Roman"/>
          <w:color w:val="000000"/>
          <w:sz w:val="24"/>
        </w:rPr>
        <w:t xml:space="preserve"> мора дополнително да се зголем</w:t>
      </w:r>
      <w:r w:rsidR="00086114" w:rsidRPr="00EA7926">
        <w:rPr>
          <w:rFonts w:ascii="Times New Roman" w:hAnsi="Times New Roman"/>
          <w:color w:val="000000"/>
          <w:sz w:val="24"/>
        </w:rPr>
        <w:t>ат</w:t>
      </w:r>
      <w:r w:rsidRPr="00EA7926">
        <w:rPr>
          <w:rFonts w:ascii="Times New Roman" w:hAnsi="Times New Roman"/>
          <w:color w:val="000000"/>
          <w:sz w:val="24"/>
        </w:rPr>
        <w:t xml:space="preserve"> преку ефикасно спроведување на Законот за буџет</w:t>
      </w:r>
      <w:r w:rsidR="00D10E2B">
        <w:rPr>
          <w:rFonts w:ascii="Times New Roman" w:hAnsi="Times New Roman"/>
          <w:color w:val="000000"/>
          <w:sz w:val="24"/>
        </w:rPr>
        <w:t>и</w:t>
      </w:r>
      <w:r w:rsidRPr="00EA7926">
        <w:rPr>
          <w:rFonts w:ascii="Times New Roman" w:hAnsi="Times New Roman"/>
          <w:color w:val="000000"/>
          <w:sz w:val="24"/>
        </w:rPr>
        <w:t>.</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u w:val="single"/>
        </w:rPr>
        <w:t>Јавна служба и управување со човечки ресурси</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Не е постигнат напредок во носењето на долгоочекуваното ревидирано законода</w:t>
      </w:r>
      <w:r w:rsidR="004376E5" w:rsidRPr="00EA7926">
        <w:rPr>
          <w:rFonts w:ascii="Times New Roman" w:hAnsi="Times New Roman"/>
          <w:color w:val="000000"/>
          <w:sz w:val="24"/>
        </w:rPr>
        <w:t>в</w:t>
      </w:r>
      <w:r w:rsidRPr="00EA7926">
        <w:rPr>
          <w:rFonts w:ascii="Times New Roman" w:hAnsi="Times New Roman"/>
          <w:color w:val="000000"/>
          <w:sz w:val="24"/>
        </w:rPr>
        <w:t>ство за административни службени</w:t>
      </w:r>
      <w:r w:rsidR="004376E5" w:rsidRPr="00EA7926">
        <w:rPr>
          <w:rFonts w:ascii="Times New Roman" w:hAnsi="Times New Roman"/>
          <w:color w:val="000000"/>
          <w:sz w:val="24"/>
        </w:rPr>
        <w:t>ци</w:t>
      </w:r>
      <w:r w:rsidRPr="00EA7926">
        <w:rPr>
          <w:rFonts w:ascii="Times New Roman" w:hAnsi="Times New Roman"/>
          <w:color w:val="000000"/>
          <w:sz w:val="24"/>
        </w:rPr>
        <w:t xml:space="preserve"> и вработени во јавниот сектор или</w:t>
      </w:r>
      <w:r w:rsidR="00934D09">
        <w:rPr>
          <w:rFonts w:ascii="Times New Roman" w:hAnsi="Times New Roman"/>
          <w:color w:val="000000"/>
          <w:sz w:val="24"/>
        </w:rPr>
        <w:t>,</w:t>
      </w:r>
      <w:r w:rsidRPr="00EA7926">
        <w:rPr>
          <w:rFonts w:ascii="Times New Roman" w:hAnsi="Times New Roman"/>
          <w:color w:val="000000"/>
          <w:sz w:val="24"/>
        </w:rPr>
        <w:t xml:space="preserve"> пак</w:t>
      </w:r>
      <w:r w:rsidR="00934D09">
        <w:rPr>
          <w:rFonts w:ascii="Times New Roman" w:hAnsi="Times New Roman"/>
          <w:color w:val="000000"/>
          <w:sz w:val="24"/>
        </w:rPr>
        <w:t>,</w:t>
      </w:r>
      <w:r w:rsidRPr="00EA7926">
        <w:rPr>
          <w:rFonts w:ascii="Times New Roman" w:hAnsi="Times New Roman"/>
          <w:color w:val="000000"/>
          <w:sz w:val="24"/>
        </w:rPr>
        <w:t xml:space="preserve"> новото законодавство за раководните позиции насочени кон тоа да се постигне </w:t>
      </w:r>
      <w:r w:rsidRPr="00EA7926">
        <w:rPr>
          <w:rFonts w:ascii="Times New Roman" w:hAnsi="Times New Roman"/>
          <w:b/>
          <w:bCs/>
          <w:color w:val="000000"/>
          <w:sz w:val="24"/>
        </w:rPr>
        <w:t>вработување по заслуга</w:t>
      </w:r>
      <w:r w:rsidRPr="00EA7926">
        <w:rPr>
          <w:rFonts w:ascii="Times New Roman" w:hAnsi="Times New Roman"/>
          <w:color w:val="000000"/>
          <w:sz w:val="24"/>
        </w:rPr>
        <w:t xml:space="preserve"> и правични </w:t>
      </w:r>
      <w:r w:rsidRPr="00EA7926">
        <w:rPr>
          <w:rFonts w:ascii="Times New Roman" w:hAnsi="Times New Roman"/>
          <w:b/>
          <w:bCs/>
          <w:color w:val="000000"/>
          <w:sz w:val="24"/>
        </w:rPr>
        <w:t>унапредувања</w:t>
      </w:r>
      <w:r w:rsidRPr="00EA7926">
        <w:rPr>
          <w:rFonts w:ascii="Times New Roman" w:hAnsi="Times New Roman"/>
          <w:color w:val="000000"/>
          <w:sz w:val="24"/>
        </w:rPr>
        <w:t xml:space="preserve"> и </w:t>
      </w:r>
      <w:r w:rsidRPr="00EA7926">
        <w:rPr>
          <w:rFonts w:ascii="Times New Roman" w:hAnsi="Times New Roman"/>
          <w:b/>
          <w:bCs/>
          <w:color w:val="000000"/>
          <w:sz w:val="24"/>
        </w:rPr>
        <w:t>отпуштања</w:t>
      </w:r>
      <w:r w:rsidRPr="00EA7926">
        <w:rPr>
          <w:rFonts w:ascii="Times New Roman" w:hAnsi="Times New Roman"/>
          <w:color w:val="000000"/>
          <w:sz w:val="24"/>
        </w:rPr>
        <w:t xml:space="preserve">. Редовните измени на законите за административни службеници и вработени во јавниот сектор по нивното носење во 2014 година доведоа до неконзистентна примена на постапките за вработување и </w:t>
      </w:r>
      <w:r w:rsidR="00934D09">
        <w:rPr>
          <w:rFonts w:ascii="Times New Roman" w:hAnsi="Times New Roman"/>
          <w:color w:val="000000"/>
          <w:sz w:val="24"/>
        </w:rPr>
        <w:t xml:space="preserve">за </w:t>
      </w:r>
      <w:r w:rsidRPr="00EA7926">
        <w:rPr>
          <w:rFonts w:ascii="Times New Roman" w:hAnsi="Times New Roman"/>
          <w:color w:val="000000"/>
          <w:sz w:val="24"/>
        </w:rPr>
        <w:t xml:space="preserve">унапредување во јавниот сектор. Сè уште се на сила контрадикторните правила во Законот за внатрешни работи, што дозволува исклучување на вработените од одредбите на Законот за административни службеници. Покрај тоа, администрацијата сè уште често ги користи постапките за трансформирање на договорите за вработување на определено време или </w:t>
      </w:r>
      <w:r w:rsidR="004376E5" w:rsidRPr="00EA7926">
        <w:rPr>
          <w:rFonts w:ascii="Times New Roman" w:hAnsi="Times New Roman"/>
          <w:color w:val="000000"/>
          <w:sz w:val="24"/>
        </w:rPr>
        <w:t xml:space="preserve">за </w:t>
      </w:r>
      <w:r w:rsidRPr="00EA7926">
        <w:rPr>
          <w:rFonts w:ascii="Times New Roman" w:hAnsi="Times New Roman"/>
          <w:color w:val="000000"/>
          <w:sz w:val="24"/>
        </w:rPr>
        <w:t>услуги во договори на неопределено време.</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Врховната ревизорска институција откри неправилности и злоупотреба на ИТ</w:t>
      </w:r>
      <w:r w:rsidR="00C64C1B">
        <w:rPr>
          <w:rFonts w:ascii="Times New Roman" w:hAnsi="Times New Roman"/>
          <w:color w:val="000000"/>
          <w:sz w:val="24"/>
        </w:rPr>
        <w:t>-</w:t>
      </w:r>
      <w:r w:rsidRPr="00EA7926">
        <w:rPr>
          <w:rFonts w:ascii="Times New Roman" w:hAnsi="Times New Roman"/>
          <w:color w:val="000000"/>
          <w:sz w:val="24"/>
        </w:rPr>
        <w:t xml:space="preserve">системот за тестирање кандидати за позиции во јавната администрација. Системот за бодување на перформансите, иако постои на хартија, сè уште не се користи систематски. Покрај тоа, продолжува недоволната транспарентност за основите за отпуштање јавни службеници и недостигаат податоци за отпуштање нераководен кадар. Треба да се обезбеди соодветно следење на препораките на Државната комисија за спречување на корупцијата за подобрување на постапките за вработување во јавниот сектор. Националните </w:t>
      </w:r>
      <w:r w:rsidR="00E977F6">
        <w:rPr>
          <w:rFonts w:ascii="Times New Roman" w:hAnsi="Times New Roman"/>
          <w:color w:val="000000"/>
          <w:sz w:val="24"/>
        </w:rPr>
        <w:t>органи</w:t>
      </w:r>
      <w:r w:rsidR="00E977F6" w:rsidRPr="00EA7926">
        <w:rPr>
          <w:rFonts w:ascii="Times New Roman" w:hAnsi="Times New Roman"/>
          <w:color w:val="000000"/>
          <w:sz w:val="24"/>
        </w:rPr>
        <w:t xml:space="preserve"> </w:t>
      </w:r>
      <w:r w:rsidRPr="00EA7926">
        <w:rPr>
          <w:rFonts w:ascii="Times New Roman" w:hAnsi="Times New Roman"/>
          <w:color w:val="000000"/>
          <w:sz w:val="24"/>
        </w:rPr>
        <w:t>треба да развијат политика на задржување на јавната администра</w:t>
      </w:r>
      <w:r w:rsidR="001E20DA" w:rsidRPr="00EA7926">
        <w:rPr>
          <w:rFonts w:ascii="Times New Roman" w:hAnsi="Times New Roman"/>
          <w:color w:val="000000"/>
          <w:sz w:val="24"/>
        </w:rPr>
        <w:t>ција</w:t>
      </w:r>
      <w:r w:rsidR="00781F8F">
        <w:rPr>
          <w:rFonts w:ascii="Times New Roman" w:hAnsi="Times New Roman"/>
          <w:color w:val="000000"/>
          <w:sz w:val="24"/>
        </w:rPr>
        <w:t>,</w:t>
      </w:r>
      <w:r w:rsidRPr="00EA7926">
        <w:rPr>
          <w:rFonts w:ascii="Times New Roman" w:hAnsi="Times New Roman"/>
          <w:color w:val="000000"/>
          <w:sz w:val="24"/>
        </w:rPr>
        <w:t xml:space="preserve"> со цел да се избегнат натамошни загуби на важна експертиза и опаѓање на административниот капацитет. Голем број </w:t>
      </w:r>
      <w:r w:rsidR="001E20DA" w:rsidRPr="00EA7926">
        <w:rPr>
          <w:rFonts w:ascii="Times New Roman" w:hAnsi="Times New Roman"/>
          <w:color w:val="000000"/>
          <w:sz w:val="24"/>
        </w:rPr>
        <w:t xml:space="preserve">слободни работни </w:t>
      </w:r>
      <w:r w:rsidRPr="00EA7926">
        <w:rPr>
          <w:rFonts w:ascii="Times New Roman" w:hAnsi="Times New Roman"/>
          <w:color w:val="000000"/>
          <w:sz w:val="24"/>
        </w:rPr>
        <w:t xml:space="preserve">места на раководни позиции не </w:t>
      </w:r>
      <w:r w:rsidR="00E977F6">
        <w:rPr>
          <w:rFonts w:ascii="Times New Roman" w:hAnsi="Times New Roman"/>
          <w:color w:val="000000"/>
          <w:sz w:val="24"/>
        </w:rPr>
        <w:t>беа</w:t>
      </w:r>
      <w:r w:rsidR="001E20DA" w:rsidRPr="00EA7926">
        <w:rPr>
          <w:rFonts w:ascii="Times New Roman" w:hAnsi="Times New Roman"/>
          <w:color w:val="000000"/>
          <w:sz w:val="24"/>
        </w:rPr>
        <w:t xml:space="preserve"> </w:t>
      </w:r>
      <w:r w:rsidRPr="00EA7926">
        <w:rPr>
          <w:rFonts w:ascii="Times New Roman" w:hAnsi="Times New Roman"/>
          <w:color w:val="000000"/>
          <w:sz w:val="24"/>
        </w:rPr>
        <w:t xml:space="preserve">пополнети преку конкурентни постапки (18 </w:t>
      </w:r>
      <w:r w:rsidR="001E20DA" w:rsidRPr="00EA7926">
        <w:rPr>
          <w:rFonts w:ascii="Times New Roman" w:hAnsi="Times New Roman"/>
          <w:color w:val="000000"/>
          <w:sz w:val="24"/>
        </w:rPr>
        <w:t xml:space="preserve">слободни работни </w:t>
      </w:r>
      <w:r w:rsidRPr="00EA7926">
        <w:rPr>
          <w:rFonts w:ascii="Times New Roman" w:hAnsi="Times New Roman"/>
          <w:color w:val="000000"/>
          <w:sz w:val="24"/>
        </w:rPr>
        <w:t>места) туку со именување вршители на должност (40 именувања).</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Министерството за информатичко општество и администрација е одговорно за координација и надзор на </w:t>
      </w:r>
      <w:r w:rsidRPr="00EA7926">
        <w:rPr>
          <w:rFonts w:ascii="Times New Roman" w:hAnsi="Times New Roman"/>
          <w:b/>
          <w:color w:val="000000"/>
          <w:sz w:val="24"/>
        </w:rPr>
        <w:t>управувањето со човечките ресурси</w:t>
      </w:r>
      <w:r w:rsidRPr="00EA7926">
        <w:rPr>
          <w:rFonts w:ascii="Times New Roman" w:hAnsi="Times New Roman"/>
          <w:color w:val="000000"/>
          <w:sz w:val="24"/>
        </w:rPr>
        <w:t xml:space="preserve"> во јавната администрација. </w:t>
      </w:r>
      <w:r w:rsidR="0054108A" w:rsidRPr="00EA7926">
        <w:rPr>
          <w:rFonts w:ascii="Times New Roman" w:hAnsi="Times New Roman"/>
          <w:color w:val="000000"/>
          <w:sz w:val="24"/>
        </w:rPr>
        <w:t>Зголемен е б</w:t>
      </w:r>
      <w:r w:rsidRPr="00EA7926">
        <w:rPr>
          <w:rFonts w:ascii="Times New Roman" w:hAnsi="Times New Roman"/>
          <w:color w:val="000000"/>
          <w:sz w:val="24"/>
        </w:rPr>
        <w:t xml:space="preserve">ројот на институции </w:t>
      </w:r>
      <w:r w:rsidR="00781F8F">
        <w:rPr>
          <w:rFonts w:ascii="Times New Roman" w:hAnsi="Times New Roman"/>
          <w:color w:val="000000"/>
          <w:sz w:val="24"/>
        </w:rPr>
        <w:t>што</w:t>
      </w:r>
      <w:r w:rsidRPr="00EA7926">
        <w:rPr>
          <w:rFonts w:ascii="Times New Roman" w:hAnsi="Times New Roman"/>
          <w:color w:val="000000"/>
          <w:sz w:val="24"/>
        </w:rPr>
        <w:t xml:space="preserve"> го користат информатичкиот систем за управување со човечките ресурси. Извештаите од посебните институции за државна ревизија покажуваат дека некои вработени во јавните служби сè уште </w:t>
      </w:r>
      <w:r w:rsidR="004C0150" w:rsidRPr="00EA7926">
        <w:rPr>
          <w:rFonts w:ascii="Times New Roman" w:hAnsi="Times New Roman"/>
          <w:color w:val="000000"/>
          <w:sz w:val="24"/>
        </w:rPr>
        <w:t xml:space="preserve">примаат </w:t>
      </w:r>
      <w:r w:rsidRPr="00EA7926">
        <w:rPr>
          <w:rFonts w:ascii="Times New Roman" w:hAnsi="Times New Roman"/>
          <w:color w:val="000000"/>
          <w:sz w:val="24"/>
        </w:rPr>
        <w:t xml:space="preserve">плата и покрај тоа што не се формално назначени и </w:t>
      </w:r>
      <w:r w:rsidR="004C0150" w:rsidRPr="00EA7926">
        <w:rPr>
          <w:rFonts w:ascii="Times New Roman" w:hAnsi="Times New Roman"/>
          <w:color w:val="000000"/>
          <w:sz w:val="24"/>
        </w:rPr>
        <w:t>не</w:t>
      </w:r>
      <w:r w:rsidRPr="00EA7926">
        <w:rPr>
          <w:rFonts w:ascii="Times New Roman" w:hAnsi="Times New Roman"/>
          <w:color w:val="000000"/>
          <w:sz w:val="24"/>
        </w:rPr>
        <w:t xml:space="preserve"> мора да се појават на работа. </w:t>
      </w:r>
      <w:r w:rsidR="00036DC7">
        <w:rPr>
          <w:rFonts w:ascii="Times New Roman" w:hAnsi="Times New Roman"/>
          <w:color w:val="000000"/>
          <w:sz w:val="24"/>
        </w:rPr>
        <w:t>П</w:t>
      </w:r>
      <w:r w:rsidRPr="00EA7926">
        <w:rPr>
          <w:rFonts w:ascii="Times New Roman" w:hAnsi="Times New Roman"/>
          <w:color w:val="000000"/>
          <w:sz w:val="24"/>
        </w:rPr>
        <w:t xml:space="preserve">очнати се иницијативи за ревидирање на </w:t>
      </w:r>
      <w:r w:rsidRPr="00E256EB">
        <w:rPr>
          <w:rFonts w:ascii="Times New Roman" w:hAnsi="Times New Roman"/>
          <w:b/>
          <w:bCs/>
          <w:color w:val="000000"/>
          <w:sz w:val="24"/>
        </w:rPr>
        <w:t>системот за надомест</w:t>
      </w:r>
      <w:r w:rsidR="004C0150" w:rsidRPr="00E256EB">
        <w:rPr>
          <w:rFonts w:ascii="Times New Roman" w:hAnsi="Times New Roman"/>
          <w:b/>
          <w:bCs/>
          <w:color w:val="000000"/>
          <w:sz w:val="24"/>
        </w:rPr>
        <w:t>оци</w:t>
      </w:r>
      <w:r w:rsidRPr="00EA7926">
        <w:rPr>
          <w:rFonts w:ascii="Times New Roman" w:hAnsi="Times New Roman"/>
          <w:color w:val="000000"/>
          <w:sz w:val="24"/>
        </w:rPr>
        <w:t xml:space="preserve"> за да се обезбедат поконзистентни нивоа на плати и да се промовира мобилност. Одредени институции имаат развиено законски решенија </w:t>
      </w:r>
      <w:r w:rsidR="003172DE">
        <w:rPr>
          <w:rFonts w:ascii="Times New Roman" w:hAnsi="Times New Roman"/>
          <w:color w:val="000000"/>
          <w:sz w:val="24"/>
        </w:rPr>
        <w:t>што</w:t>
      </w:r>
      <w:r w:rsidRPr="00EA7926">
        <w:rPr>
          <w:rFonts w:ascii="Times New Roman" w:hAnsi="Times New Roman"/>
          <w:color w:val="000000"/>
          <w:sz w:val="24"/>
        </w:rPr>
        <w:t xml:space="preserve"> дозволуваат еднострано зголемување на платите за одредени категории од </w:t>
      </w:r>
      <w:r w:rsidR="005C7D62">
        <w:rPr>
          <w:rFonts w:ascii="Times New Roman" w:hAnsi="Times New Roman"/>
          <w:color w:val="000000"/>
          <w:sz w:val="24"/>
        </w:rPr>
        <w:t>кадарот</w:t>
      </w:r>
      <w:r w:rsidRPr="00EA7926">
        <w:rPr>
          <w:rFonts w:ascii="Times New Roman" w:hAnsi="Times New Roman"/>
          <w:color w:val="000000"/>
          <w:sz w:val="24"/>
        </w:rPr>
        <w:t xml:space="preserve">. </w:t>
      </w:r>
      <w:r w:rsidR="005C7D62">
        <w:rPr>
          <w:rFonts w:ascii="Times New Roman" w:hAnsi="Times New Roman"/>
          <w:color w:val="000000"/>
          <w:sz w:val="24"/>
        </w:rPr>
        <w:t>Практиката</w:t>
      </w:r>
      <w:r w:rsidR="005C7D62" w:rsidRPr="00EA7926">
        <w:rPr>
          <w:rFonts w:ascii="Times New Roman" w:hAnsi="Times New Roman"/>
          <w:color w:val="000000"/>
          <w:sz w:val="24"/>
        </w:rPr>
        <w:t xml:space="preserve"> </w:t>
      </w:r>
      <w:r w:rsidRPr="00EA7926">
        <w:rPr>
          <w:rFonts w:ascii="Times New Roman" w:hAnsi="Times New Roman"/>
          <w:color w:val="000000"/>
          <w:sz w:val="24"/>
        </w:rPr>
        <w:t xml:space="preserve">за плаќање додатоци на плата продолжи со законите за извршување на буџетот за 2022 и 2023 година. Сепак, стапката на менување на </w:t>
      </w:r>
      <w:r w:rsidR="00DE690D">
        <w:rPr>
          <w:rFonts w:ascii="Times New Roman" w:hAnsi="Times New Roman"/>
          <w:color w:val="000000"/>
          <w:sz w:val="24"/>
        </w:rPr>
        <w:t>кадарот што</w:t>
      </w:r>
      <w:r w:rsidRPr="00EA7926">
        <w:rPr>
          <w:rFonts w:ascii="Times New Roman" w:hAnsi="Times New Roman"/>
          <w:color w:val="000000"/>
          <w:sz w:val="24"/>
        </w:rPr>
        <w:t xml:space="preserve"> работи на управувањето со фондовите на ЕУ</w:t>
      </w:r>
      <w:r w:rsidR="004A0F0D">
        <w:rPr>
          <w:rFonts w:ascii="Times New Roman" w:hAnsi="Times New Roman"/>
          <w:color w:val="000000"/>
          <w:sz w:val="24"/>
        </w:rPr>
        <w:t>,</w:t>
      </w:r>
      <w:r w:rsidRPr="00EA7926">
        <w:rPr>
          <w:rFonts w:ascii="Times New Roman" w:hAnsi="Times New Roman"/>
          <w:color w:val="000000"/>
          <w:sz w:val="24"/>
        </w:rPr>
        <w:t xml:space="preserve"> ја доведува во прашање ефективноста на овие мерки.</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На 31 декември 2022 година жените </w:t>
      </w:r>
      <w:r w:rsidR="00A860E5" w:rsidRPr="00EA7926">
        <w:rPr>
          <w:rFonts w:ascii="Times New Roman" w:hAnsi="Times New Roman"/>
          <w:color w:val="000000"/>
          <w:sz w:val="24"/>
        </w:rPr>
        <w:t>претставувале</w:t>
      </w:r>
      <w:r w:rsidRPr="00EA7926">
        <w:rPr>
          <w:rFonts w:ascii="Times New Roman" w:hAnsi="Times New Roman"/>
          <w:color w:val="000000"/>
          <w:sz w:val="24"/>
        </w:rPr>
        <w:t xml:space="preserve"> 56,29</w:t>
      </w:r>
      <w:r w:rsidR="0089059D">
        <w:rPr>
          <w:rFonts w:ascii="Times New Roman" w:hAnsi="Times New Roman"/>
          <w:color w:val="000000"/>
          <w:sz w:val="24"/>
        </w:rPr>
        <w:t xml:space="preserve"> </w:t>
      </w:r>
      <w:r w:rsidRPr="00EA7926">
        <w:rPr>
          <w:rFonts w:ascii="Times New Roman" w:hAnsi="Times New Roman"/>
          <w:color w:val="000000"/>
          <w:sz w:val="24"/>
        </w:rPr>
        <w:t xml:space="preserve">% од севкупниот број вработени во јавната служба според регистарот на вработени во јавниот сектор, без </w:t>
      </w:r>
      <w:r w:rsidR="00DE690D">
        <w:rPr>
          <w:rFonts w:ascii="Times New Roman" w:hAnsi="Times New Roman"/>
          <w:color w:val="000000"/>
          <w:sz w:val="24"/>
        </w:rPr>
        <w:t>кадарот</w:t>
      </w:r>
      <w:r w:rsidR="00DE690D" w:rsidRPr="00EA7926">
        <w:rPr>
          <w:rFonts w:ascii="Times New Roman" w:hAnsi="Times New Roman"/>
          <w:color w:val="000000"/>
          <w:sz w:val="24"/>
        </w:rPr>
        <w:t xml:space="preserve"> </w:t>
      </w:r>
      <w:r w:rsidRPr="00EA7926">
        <w:rPr>
          <w:rFonts w:ascii="Times New Roman" w:hAnsi="Times New Roman"/>
          <w:color w:val="000000"/>
          <w:sz w:val="24"/>
        </w:rPr>
        <w:t xml:space="preserve">на институциите </w:t>
      </w:r>
      <w:r w:rsidR="004A0F0D">
        <w:rPr>
          <w:rFonts w:ascii="Times New Roman" w:hAnsi="Times New Roman"/>
          <w:color w:val="000000"/>
          <w:sz w:val="24"/>
        </w:rPr>
        <w:t>какви</w:t>
      </w:r>
      <w:r w:rsidRPr="00EA7926">
        <w:rPr>
          <w:rFonts w:ascii="Times New Roman" w:hAnsi="Times New Roman"/>
          <w:color w:val="000000"/>
          <w:sz w:val="24"/>
        </w:rPr>
        <w:t xml:space="preserve"> што се војската и агенциите за спроведување на законот. </w:t>
      </w:r>
      <w:r w:rsidR="00A860E5" w:rsidRPr="00EA7926">
        <w:rPr>
          <w:rFonts w:ascii="Times New Roman" w:hAnsi="Times New Roman"/>
          <w:color w:val="000000"/>
          <w:sz w:val="24"/>
        </w:rPr>
        <w:t>П</w:t>
      </w:r>
      <w:r w:rsidRPr="00EA7926">
        <w:rPr>
          <w:rFonts w:ascii="Times New Roman" w:hAnsi="Times New Roman"/>
          <w:color w:val="000000"/>
          <w:sz w:val="24"/>
        </w:rPr>
        <w:t>роцентот што се користи во формулата за „Баланс</w:t>
      </w:r>
      <w:r w:rsidR="00E977F6">
        <w:rPr>
          <w:rFonts w:ascii="Times New Roman" w:hAnsi="Times New Roman"/>
          <w:color w:val="000000"/>
          <w:sz w:val="24"/>
        </w:rPr>
        <w:t>ер</w:t>
      </w:r>
      <w:r w:rsidRPr="00EA7926">
        <w:rPr>
          <w:rFonts w:ascii="Times New Roman" w:hAnsi="Times New Roman"/>
          <w:color w:val="000000"/>
          <w:sz w:val="24"/>
        </w:rPr>
        <w:t xml:space="preserve">“ </w:t>
      </w:r>
      <w:r w:rsidR="009D5863">
        <w:rPr>
          <w:rFonts w:ascii="Times New Roman" w:hAnsi="Times New Roman"/>
          <w:color w:val="000000"/>
          <w:sz w:val="24"/>
        </w:rPr>
        <w:t>–</w:t>
      </w:r>
      <w:r w:rsidRPr="00EA7926">
        <w:rPr>
          <w:rFonts w:ascii="Times New Roman" w:hAnsi="Times New Roman"/>
          <w:color w:val="000000"/>
          <w:sz w:val="24"/>
        </w:rPr>
        <w:t xml:space="preserve"> алатка за човечки ресурси што го одредува процентот на вработени во јавниот сектор од секоја етничка група</w:t>
      </w:r>
      <w:r w:rsidR="00763A22">
        <w:rPr>
          <w:rFonts w:ascii="Times New Roman" w:hAnsi="Times New Roman"/>
          <w:color w:val="000000"/>
          <w:sz w:val="24"/>
        </w:rPr>
        <w:t xml:space="preserve"> –</w:t>
      </w:r>
      <w:r w:rsidR="00A860E5" w:rsidRPr="00EA7926">
        <w:rPr>
          <w:rFonts w:ascii="Times New Roman" w:hAnsi="Times New Roman"/>
          <w:color w:val="000000"/>
          <w:sz w:val="24"/>
        </w:rPr>
        <w:t xml:space="preserve"> и понатаму загрижува</w:t>
      </w:r>
      <w:r w:rsidRPr="00EA7926">
        <w:rPr>
          <w:rFonts w:ascii="Times New Roman" w:hAnsi="Times New Roman"/>
          <w:color w:val="000000"/>
          <w:sz w:val="24"/>
        </w:rPr>
        <w:t xml:space="preserve">. Ревидираната формула го вклучува нерезидентното население и не го зема предвид процентот на граѓани </w:t>
      </w:r>
      <w:r w:rsidR="00A21CAB">
        <w:rPr>
          <w:rFonts w:ascii="Times New Roman" w:hAnsi="Times New Roman"/>
          <w:color w:val="000000"/>
          <w:sz w:val="24"/>
        </w:rPr>
        <w:t>што</w:t>
      </w:r>
      <w:r w:rsidRPr="00EA7926">
        <w:rPr>
          <w:rFonts w:ascii="Times New Roman" w:hAnsi="Times New Roman"/>
          <w:color w:val="000000"/>
          <w:sz w:val="24"/>
        </w:rPr>
        <w:t xml:space="preserve"> не ја искажале својата етничка припадност на пописот. </w:t>
      </w:r>
      <w:r w:rsidR="000720A9" w:rsidRPr="00EA7926">
        <w:rPr>
          <w:rFonts w:ascii="Times New Roman" w:hAnsi="Times New Roman"/>
          <w:color w:val="000000"/>
          <w:sz w:val="24"/>
        </w:rPr>
        <w:t>Не е завршен т</w:t>
      </w:r>
      <w:r w:rsidRPr="00EA7926">
        <w:rPr>
          <w:rFonts w:ascii="Times New Roman" w:hAnsi="Times New Roman"/>
          <w:color w:val="000000"/>
          <w:sz w:val="24"/>
        </w:rPr>
        <w:t xml:space="preserve">рансферот на вработените од Министерството за политички систем и односи меѓу заедниците во различни институции. Покрај тоа, </w:t>
      </w:r>
      <w:r w:rsidR="000720A9" w:rsidRPr="00EA7926">
        <w:rPr>
          <w:rFonts w:ascii="Times New Roman" w:hAnsi="Times New Roman"/>
          <w:color w:val="000000"/>
          <w:sz w:val="24"/>
        </w:rPr>
        <w:t>М</w:t>
      </w:r>
      <w:r w:rsidRPr="00EA7926">
        <w:rPr>
          <w:rFonts w:ascii="Times New Roman" w:hAnsi="Times New Roman"/>
          <w:color w:val="000000"/>
          <w:sz w:val="24"/>
        </w:rPr>
        <w:t>инистерството спроведе нова постапка за вработување</w:t>
      </w:r>
      <w:r w:rsidR="007F5943">
        <w:rPr>
          <w:rFonts w:ascii="Times New Roman" w:hAnsi="Times New Roman"/>
          <w:color w:val="000000"/>
          <w:sz w:val="24"/>
        </w:rPr>
        <w:t>,</w:t>
      </w:r>
      <w:r w:rsidRPr="00EA7926">
        <w:rPr>
          <w:rFonts w:ascii="Times New Roman" w:hAnsi="Times New Roman"/>
          <w:color w:val="000000"/>
          <w:sz w:val="24"/>
        </w:rPr>
        <w:t xml:space="preserve"> со цел да ги распореди новите вработени во различни институции.</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Во однос на </w:t>
      </w:r>
      <w:r w:rsidRPr="00EA7926">
        <w:rPr>
          <w:rFonts w:ascii="Times New Roman" w:hAnsi="Times New Roman"/>
          <w:b/>
          <w:bCs/>
          <w:color w:val="000000"/>
          <w:sz w:val="24"/>
        </w:rPr>
        <w:t>професионалниот</w:t>
      </w:r>
      <w:r w:rsidRPr="00EA7926">
        <w:rPr>
          <w:rFonts w:ascii="Times New Roman" w:hAnsi="Times New Roman"/>
          <w:color w:val="000000"/>
          <w:sz w:val="24"/>
        </w:rPr>
        <w:t xml:space="preserve"> </w:t>
      </w:r>
      <w:r w:rsidRPr="00EA7926">
        <w:rPr>
          <w:rFonts w:ascii="Times New Roman" w:hAnsi="Times New Roman"/>
          <w:b/>
          <w:bCs/>
          <w:color w:val="000000"/>
          <w:sz w:val="24"/>
        </w:rPr>
        <w:t>развој</w:t>
      </w:r>
      <w:r w:rsidRPr="00EA7926">
        <w:rPr>
          <w:rFonts w:ascii="Times New Roman" w:hAnsi="Times New Roman"/>
          <w:color w:val="000000"/>
          <w:sz w:val="24"/>
        </w:rPr>
        <w:t xml:space="preserve">, сè уште нема централизирана база на податоци за сите обуки што ги нудат различните институции и проекти. </w:t>
      </w:r>
      <w:r w:rsidR="000720A9" w:rsidRPr="00EA7926">
        <w:rPr>
          <w:rFonts w:ascii="Times New Roman" w:hAnsi="Times New Roman"/>
          <w:color w:val="000000"/>
          <w:sz w:val="24"/>
        </w:rPr>
        <w:t>Развиени се н</w:t>
      </w:r>
      <w:r w:rsidRPr="00EA7926">
        <w:rPr>
          <w:rFonts w:ascii="Times New Roman" w:hAnsi="Times New Roman"/>
          <w:color w:val="000000"/>
          <w:sz w:val="24"/>
        </w:rPr>
        <w:t xml:space="preserve">асоки за </w:t>
      </w:r>
      <w:r w:rsidRPr="00EA7926">
        <w:rPr>
          <w:rFonts w:ascii="Times New Roman" w:hAnsi="Times New Roman"/>
          <w:b/>
          <w:bCs/>
          <w:color w:val="000000"/>
          <w:sz w:val="24"/>
        </w:rPr>
        <w:t>интегритет</w:t>
      </w:r>
      <w:r w:rsidRPr="00EA7926">
        <w:rPr>
          <w:rFonts w:ascii="Times New Roman" w:hAnsi="Times New Roman"/>
          <w:color w:val="000000"/>
          <w:sz w:val="24"/>
        </w:rPr>
        <w:t xml:space="preserve"> на централно и </w:t>
      </w:r>
      <w:r w:rsidR="007F5943">
        <w:rPr>
          <w:rFonts w:ascii="Times New Roman" w:hAnsi="Times New Roman"/>
          <w:color w:val="000000"/>
          <w:sz w:val="24"/>
        </w:rPr>
        <w:t xml:space="preserve">на </w:t>
      </w:r>
      <w:r w:rsidRPr="00EA7926">
        <w:rPr>
          <w:rFonts w:ascii="Times New Roman" w:hAnsi="Times New Roman"/>
          <w:color w:val="000000"/>
          <w:sz w:val="24"/>
        </w:rPr>
        <w:t>локално ниво. Законодавството за укажувачи е во сила, но треба да се подобри заштитата на укажувачите. Според годишниот извештај на Државната комисија за спречување на корупцијата, институциите пријавиле 24 случаи на укажувачи во 2022 година и пратиле десет извештаи директно до Државната комисија.</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u w:val="single"/>
        </w:rPr>
        <w:t>Отчетност на администрацијата</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Реорганизацијата на институциите од централната власт, насочена кон усогласување на институционалната рамка, елиминирање на преклопените овластувања, подобрување на ефикасноста на администрацијата и подобрување на </w:t>
      </w:r>
      <w:r w:rsidRPr="00EA7926">
        <w:rPr>
          <w:rFonts w:ascii="Times New Roman" w:hAnsi="Times New Roman"/>
          <w:b/>
          <w:bCs/>
          <w:color w:val="000000"/>
          <w:sz w:val="24"/>
        </w:rPr>
        <w:t>линиите на одговорност</w:t>
      </w:r>
      <w:r w:rsidRPr="00EA7926">
        <w:rPr>
          <w:rFonts w:ascii="Times New Roman" w:hAnsi="Times New Roman"/>
          <w:color w:val="000000"/>
          <w:sz w:val="24"/>
        </w:rPr>
        <w:t xml:space="preserve">, е одложена поради новиот закон за државна организација што сè уште не е </w:t>
      </w:r>
      <w:r w:rsidR="00AF6210">
        <w:rPr>
          <w:rFonts w:ascii="Times New Roman" w:hAnsi="Times New Roman"/>
          <w:color w:val="000000"/>
          <w:sz w:val="24"/>
        </w:rPr>
        <w:t>донесен</w:t>
      </w:r>
      <w:r w:rsidRPr="00EA7926">
        <w:rPr>
          <w:rFonts w:ascii="Times New Roman" w:hAnsi="Times New Roman"/>
          <w:color w:val="000000"/>
          <w:sz w:val="24"/>
        </w:rPr>
        <w:t>. Ова, исто така, ја спречи реорганизацијата на трите пилот-министерски системи. Делегирањето на овластувањата за донесување одлуки на раководните позиции од средно ниво</w:t>
      </w:r>
      <w:r w:rsidR="00EA2A0A">
        <w:rPr>
          <w:rFonts w:ascii="Times New Roman" w:hAnsi="Times New Roman"/>
          <w:color w:val="000000"/>
          <w:sz w:val="24"/>
        </w:rPr>
        <w:t>,</w:t>
      </w:r>
      <w:r w:rsidRPr="00EA7926">
        <w:rPr>
          <w:rFonts w:ascii="Times New Roman" w:hAnsi="Times New Roman"/>
          <w:color w:val="000000"/>
          <w:sz w:val="24"/>
        </w:rPr>
        <w:t xml:space="preserve"> останува ограничено и на централно и на локално ниво. Потребни се континуирани напори за ефикасно вклучување на раководната одговорност </w:t>
      </w:r>
      <w:r w:rsidR="00284884" w:rsidRPr="00EA7926">
        <w:rPr>
          <w:rFonts w:ascii="Times New Roman" w:hAnsi="Times New Roman"/>
          <w:color w:val="000000"/>
          <w:sz w:val="24"/>
        </w:rPr>
        <w:t xml:space="preserve">во </w:t>
      </w:r>
      <w:r w:rsidRPr="00EA7926">
        <w:rPr>
          <w:rFonts w:ascii="Times New Roman" w:hAnsi="Times New Roman"/>
          <w:color w:val="000000"/>
          <w:sz w:val="24"/>
        </w:rPr>
        <w:t>целата јавна администрација (</w:t>
      </w:r>
      <w:r w:rsidRPr="00EA7926">
        <w:rPr>
          <w:rFonts w:ascii="Times New Roman" w:hAnsi="Times New Roman"/>
          <w:i/>
          <w:color w:val="000000"/>
          <w:sz w:val="24"/>
        </w:rPr>
        <w:t>вид</w:t>
      </w:r>
      <w:r w:rsidR="00284884" w:rsidRPr="00EA7926">
        <w:rPr>
          <w:rFonts w:ascii="Times New Roman" w:hAnsi="Times New Roman"/>
          <w:i/>
          <w:color w:val="000000"/>
          <w:sz w:val="24"/>
        </w:rPr>
        <w:t>ете</w:t>
      </w:r>
      <w:r w:rsidRPr="00EA7926">
        <w:rPr>
          <w:rFonts w:ascii="Times New Roman" w:hAnsi="Times New Roman"/>
          <w:i/>
          <w:color w:val="000000"/>
          <w:sz w:val="24"/>
        </w:rPr>
        <w:t xml:space="preserve"> Поглавје 32 </w:t>
      </w:r>
      <w:r w:rsidR="00EA2A0A">
        <w:rPr>
          <w:rFonts w:ascii="Times New Roman" w:hAnsi="Times New Roman"/>
          <w:i/>
          <w:color w:val="000000"/>
          <w:sz w:val="24"/>
        </w:rPr>
        <w:t>–</w:t>
      </w:r>
      <w:r w:rsidRPr="00EA7926">
        <w:rPr>
          <w:rFonts w:ascii="Times New Roman" w:hAnsi="Times New Roman"/>
          <w:i/>
          <w:color w:val="000000"/>
          <w:sz w:val="24"/>
        </w:rPr>
        <w:t xml:space="preserve"> Финансиска контрола</w:t>
      </w:r>
      <w:r w:rsidRPr="00EA7926">
        <w:rPr>
          <w:rFonts w:ascii="Times New Roman" w:hAnsi="Times New Roman"/>
          <w:color w:val="000000"/>
          <w:sz w:val="24"/>
        </w:rPr>
        <w:t>).</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Воспоставено е законодавството за </w:t>
      </w:r>
      <w:r w:rsidRPr="00EA7926">
        <w:rPr>
          <w:rFonts w:ascii="Times New Roman" w:hAnsi="Times New Roman"/>
          <w:b/>
          <w:color w:val="000000"/>
          <w:sz w:val="24"/>
        </w:rPr>
        <w:t>надзор од независни надзорни тела</w:t>
      </w:r>
      <w:r w:rsidRPr="00EA7926">
        <w:rPr>
          <w:rFonts w:ascii="Times New Roman" w:hAnsi="Times New Roman"/>
          <w:color w:val="000000"/>
          <w:sz w:val="24"/>
        </w:rPr>
        <w:t xml:space="preserve">, а особено од Државниот завод за ревизија и Народниот правобранител. Сè уште е потребно посистематско следење на нивните заклучоци и препораки, и од страна на </w:t>
      </w:r>
      <w:r w:rsidR="00704F81">
        <w:rPr>
          <w:rFonts w:ascii="Times New Roman" w:hAnsi="Times New Roman"/>
          <w:color w:val="000000"/>
          <w:sz w:val="24"/>
        </w:rPr>
        <w:t>В</w:t>
      </w:r>
      <w:r w:rsidRPr="00EA7926">
        <w:rPr>
          <w:rFonts w:ascii="Times New Roman" w:hAnsi="Times New Roman"/>
          <w:color w:val="000000"/>
          <w:sz w:val="24"/>
        </w:rPr>
        <w:t>ладата во решавањето на недостатоците и во спречувањето на натамошни нерегуларности (</w:t>
      </w:r>
      <w:r w:rsidRPr="004004ED">
        <w:rPr>
          <w:rFonts w:ascii="Times New Roman" w:hAnsi="Times New Roman"/>
          <w:i/>
          <w:color w:val="000000"/>
          <w:sz w:val="24"/>
        </w:rPr>
        <w:t>вид</w:t>
      </w:r>
      <w:r w:rsidR="00BE2CB6" w:rsidRPr="004004ED">
        <w:rPr>
          <w:rFonts w:ascii="Times New Roman" w:hAnsi="Times New Roman"/>
          <w:i/>
          <w:color w:val="000000"/>
          <w:sz w:val="24"/>
        </w:rPr>
        <w:t>ете</w:t>
      </w:r>
      <w:r w:rsidRPr="004004ED">
        <w:rPr>
          <w:rFonts w:ascii="Times New Roman" w:hAnsi="Times New Roman"/>
          <w:i/>
          <w:color w:val="000000"/>
          <w:sz w:val="24"/>
        </w:rPr>
        <w:t xml:space="preserve"> на пр</w:t>
      </w:r>
      <w:r w:rsidR="00EA2A0A" w:rsidRPr="004004ED">
        <w:rPr>
          <w:rFonts w:ascii="Times New Roman" w:hAnsi="Times New Roman"/>
          <w:i/>
          <w:color w:val="000000"/>
          <w:sz w:val="24"/>
        </w:rPr>
        <w:t>имер</w:t>
      </w:r>
      <w:r w:rsidRPr="004004ED">
        <w:rPr>
          <w:rFonts w:ascii="Times New Roman" w:hAnsi="Times New Roman"/>
          <w:i/>
          <w:color w:val="000000"/>
          <w:sz w:val="24"/>
        </w:rPr>
        <w:t xml:space="preserve"> Поглавје 20 </w:t>
      </w:r>
      <w:r w:rsidR="00EA2A0A" w:rsidRPr="004004ED">
        <w:rPr>
          <w:rFonts w:ascii="Times New Roman" w:hAnsi="Times New Roman"/>
          <w:i/>
          <w:color w:val="000000"/>
          <w:sz w:val="24"/>
        </w:rPr>
        <w:t>–</w:t>
      </w:r>
      <w:r w:rsidRPr="004004ED">
        <w:rPr>
          <w:rFonts w:ascii="Times New Roman" w:hAnsi="Times New Roman"/>
          <w:i/>
          <w:color w:val="000000"/>
          <w:sz w:val="24"/>
        </w:rPr>
        <w:t xml:space="preserve"> Претпријатија и индустриска политика, </w:t>
      </w:r>
      <w:r w:rsidR="00EA2A0A" w:rsidRPr="004004ED">
        <w:rPr>
          <w:rFonts w:ascii="Times New Roman" w:hAnsi="Times New Roman"/>
          <w:i/>
          <w:color w:val="000000"/>
          <w:sz w:val="24"/>
        </w:rPr>
        <w:t>П</w:t>
      </w:r>
      <w:r w:rsidRPr="004004ED">
        <w:rPr>
          <w:rFonts w:ascii="Times New Roman" w:hAnsi="Times New Roman"/>
          <w:i/>
          <w:color w:val="000000"/>
          <w:sz w:val="24"/>
        </w:rPr>
        <w:t xml:space="preserve">оглавје 25 </w:t>
      </w:r>
      <w:r w:rsidR="00EA2A0A" w:rsidRPr="004004ED">
        <w:rPr>
          <w:rFonts w:ascii="Times New Roman" w:hAnsi="Times New Roman"/>
          <w:i/>
          <w:color w:val="000000"/>
          <w:sz w:val="24"/>
        </w:rPr>
        <w:t>–</w:t>
      </w:r>
      <w:r w:rsidRPr="004004ED">
        <w:rPr>
          <w:rFonts w:ascii="Times New Roman" w:hAnsi="Times New Roman"/>
          <w:i/>
          <w:color w:val="000000"/>
          <w:sz w:val="24"/>
        </w:rPr>
        <w:t xml:space="preserve"> Наука и истражување и Поглавје 15 </w:t>
      </w:r>
      <w:r w:rsidR="00CB278E" w:rsidRPr="004004ED">
        <w:rPr>
          <w:rFonts w:ascii="Times New Roman" w:hAnsi="Times New Roman"/>
          <w:i/>
          <w:color w:val="000000"/>
          <w:sz w:val="24"/>
        </w:rPr>
        <w:t>–</w:t>
      </w:r>
      <w:r w:rsidRPr="004004ED">
        <w:rPr>
          <w:rFonts w:ascii="Times New Roman" w:hAnsi="Times New Roman"/>
          <w:i/>
          <w:color w:val="000000"/>
          <w:sz w:val="24"/>
        </w:rPr>
        <w:t xml:space="preserve"> Енергетика</w:t>
      </w:r>
      <w:r w:rsidRPr="00EA7926">
        <w:rPr>
          <w:rFonts w:ascii="Times New Roman" w:hAnsi="Times New Roman"/>
          <w:color w:val="000000"/>
          <w:sz w:val="24"/>
        </w:rPr>
        <w:t xml:space="preserve">) и од страна на агенциите за спроведување на законот во гонењето на делата. </w:t>
      </w:r>
      <w:r w:rsidRPr="00EA7926">
        <w:rPr>
          <w:rFonts w:ascii="Times New Roman" w:hAnsi="Times New Roman"/>
          <w:b/>
          <w:color w:val="000000"/>
          <w:sz w:val="24"/>
        </w:rPr>
        <w:t>Правото на граѓаните за пристап до информациите од јавен карактер</w:t>
      </w:r>
      <w:r w:rsidRPr="00EA7926">
        <w:rPr>
          <w:rFonts w:ascii="Times New Roman" w:hAnsi="Times New Roman"/>
          <w:color w:val="000000"/>
          <w:sz w:val="24"/>
        </w:rPr>
        <w:t xml:space="preserve"> е заштитено </w:t>
      </w:r>
      <w:r w:rsidR="00BE2CB6" w:rsidRPr="00EA7926">
        <w:rPr>
          <w:rFonts w:ascii="Times New Roman" w:hAnsi="Times New Roman"/>
          <w:color w:val="000000"/>
          <w:sz w:val="24"/>
        </w:rPr>
        <w:t>с</w:t>
      </w:r>
      <w:r w:rsidRPr="00EA7926">
        <w:rPr>
          <w:rFonts w:ascii="Times New Roman" w:hAnsi="Times New Roman"/>
          <w:color w:val="000000"/>
          <w:sz w:val="24"/>
        </w:rPr>
        <w:t xml:space="preserve">о законодавството. Сепак, треба дополнително да се охрабрува проактивното обелоденување информации и бази на податоци на </w:t>
      </w:r>
      <w:r w:rsidR="001C67AD">
        <w:rPr>
          <w:rFonts w:ascii="Times New Roman" w:hAnsi="Times New Roman"/>
          <w:color w:val="000000"/>
          <w:sz w:val="24"/>
        </w:rPr>
        <w:t>службените</w:t>
      </w:r>
      <w:r w:rsidR="001C67AD" w:rsidRPr="00EA7926">
        <w:rPr>
          <w:rFonts w:ascii="Times New Roman" w:hAnsi="Times New Roman"/>
          <w:color w:val="000000"/>
          <w:sz w:val="24"/>
        </w:rPr>
        <w:t xml:space="preserve"> </w:t>
      </w:r>
      <w:r w:rsidRPr="00EA7926">
        <w:rPr>
          <w:rFonts w:ascii="Times New Roman" w:hAnsi="Times New Roman"/>
          <w:color w:val="000000"/>
          <w:sz w:val="24"/>
        </w:rPr>
        <w:t>веб-страници, особено на локално ниво. Агенцијата за заштита на слободниот пристап до јавни информации ги обработува поднесените барања брзо и проактивно врши надзор врз носителите на информациите и покрај ограничените средства.</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Правната рамка што го опфаќа </w:t>
      </w:r>
      <w:r w:rsidRPr="00EA7926">
        <w:rPr>
          <w:rFonts w:ascii="Times New Roman" w:hAnsi="Times New Roman"/>
          <w:b/>
          <w:bCs/>
          <w:color w:val="000000"/>
          <w:sz w:val="24"/>
        </w:rPr>
        <w:t>правото на граѓаните на добра администрација</w:t>
      </w:r>
      <w:r w:rsidRPr="00EA7926">
        <w:rPr>
          <w:rFonts w:ascii="Times New Roman" w:hAnsi="Times New Roman"/>
          <w:color w:val="000000"/>
          <w:sz w:val="24"/>
        </w:rPr>
        <w:t xml:space="preserve"> предвидува управни и судски прегледи. Меѓутоа, во </w:t>
      </w:r>
      <w:r w:rsidR="00651813">
        <w:rPr>
          <w:rFonts w:ascii="Times New Roman" w:hAnsi="Times New Roman"/>
          <w:color w:val="000000"/>
          <w:sz w:val="24"/>
        </w:rPr>
        <w:t>практика</w:t>
      </w:r>
      <w:r w:rsidRPr="00EA7926">
        <w:rPr>
          <w:rFonts w:ascii="Times New Roman" w:hAnsi="Times New Roman"/>
          <w:color w:val="000000"/>
          <w:sz w:val="24"/>
        </w:rPr>
        <w:t xml:space="preserve">, управните спорови сè уште се соочуваат со неразумни одложувања. Постапките за жалба се сложени и долготрајни и се состојат од неколку нивоа на жалби. Има повторување на постапките, бидејќи најголем дел од одлуките се засноваат на процедурални размислувања, а не на основаност. Продолжуваат одложувањата во извршувањето на одлуките на Управниот суд од страна на соодветните институции. Со законодавството се дефинираат </w:t>
      </w:r>
      <w:r w:rsidRPr="00EA7926">
        <w:rPr>
          <w:rFonts w:ascii="Times New Roman" w:hAnsi="Times New Roman"/>
          <w:b/>
          <w:color w:val="000000"/>
          <w:sz w:val="24"/>
        </w:rPr>
        <w:t>правото на граѓаните да бараат надоместок на штета</w:t>
      </w:r>
      <w:r w:rsidRPr="00EA7926">
        <w:rPr>
          <w:rFonts w:ascii="Times New Roman" w:hAnsi="Times New Roman"/>
          <w:color w:val="000000"/>
          <w:sz w:val="24"/>
        </w:rPr>
        <w:t xml:space="preserve"> и одговорноста на јавните органи во случаи на прекршоци.</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u w:val="single"/>
        </w:rPr>
        <w:t>Обезбедување услуги за граѓаните и за деловните субјекти</w:t>
      </w:r>
    </w:p>
    <w:p w:rsidR="004B28D4" w:rsidRPr="00EA7926" w:rsidRDefault="004B28D4" w:rsidP="004B28D4">
      <w:pPr>
        <w:shd w:val="clear" w:color="auto" w:fill="FFFFFF"/>
        <w:spacing w:before="120" w:after="120" w:line="240" w:lineRule="auto"/>
        <w:jc w:val="both"/>
        <w:rPr>
          <w:rFonts w:ascii="Times New Roman" w:hAnsi="Times New Roman"/>
          <w:sz w:val="24"/>
          <w:szCs w:val="24"/>
        </w:rPr>
      </w:pPr>
      <w:r w:rsidRPr="00EA7926">
        <w:rPr>
          <w:rFonts w:ascii="Times New Roman" w:hAnsi="Times New Roman"/>
          <w:color w:val="000000"/>
          <w:sz w:val="24"/>
        </w:rPr>
        <w:t xml:space="preserve">Во однос на </w:t>
      </w:r>
      <w:r w:rsidRPr="00E256EB">
        <w:rPr>
          <w:rFonts w:ascii="Times New Roman" w:hAnsi="Times New Roman"/>
          <w:b/>
          <w:bCs/>
          <w:color w:val="000000"/>
          <w:sz w:val="24"/>
        </w:rPr>
        <w:t>испораката на услуги ориентирани кон корисниците</w:t>
      </w:r>
      <w:r w:rsidRPr="00EA7926">
        <w:rPr>
          <w:rFonts w:ascii="Times New Roman" w:hAnsi="Times New Roman"/>
          <w:color w:val="000000"/>
          <w:sz w:val="24"/>
        </w:rPr>
        <w:t>, законодавството и ИТ</w:t>
      </w:r>
      <w:r w:rsidR="00A563A1">
        <w:rPr>
          <w:rFonts w:ascii="Times New Roman" w:hAnsi="Times New Roman"/>
          <w:color w:val="000000"/>
          <w:sz w:val="24"/>
        </w:rPr>
        <w:t>-</w:t>
      </w:r>
      <w:r w:rsidRPr="00EA7926">
        <w:rPr>
          <w:rFonts w:ascii="Times New Roman" w:hAnsi="Times New Roman"/>
          <w:color w:val="000000"/>
          <w:sz w:val="24"/>
        </w:rPr>
        <w:t xml:space="preserve">инфраструктурата овозможуваат најголем дел од административните услуги да се нудат онлајн и офлајн, преку националниот е-портал за услуги, вклучувајќи и капацитети за лица со посебни потреби. Треба да се заврши ажурирањето на порталот со 135 нови услуги. Во моментов, бројот на дигитални услуги достапни до граѓаните е симболичен и главно се состои од услуги </w:t>
      </w:r>
      <w:r w:rsidR="003E23DF">
        <w:rPr>
          <w:rFonts w:ascii="Times New Roman" w:hAnsi="Times New Roman"/>
          <w:color w:val="000000"/>
          <w:sz w:val="24"/>
        </w:rPr>
        <w:t>што</w:t>
      </w:r>
      <w:r w:rsidRPr="00EA7926">
        <w:rPr>
          <w:rFonts w:ascii="Times New Roman" w:hAnsi="Times New Roman"/>
          <w:color w:val="000000"/>
          <w:sz w:val="24"/>
        </w:rPr>
        <w:t xml:space="preserve"> ретко се бараат, додека најбараните услуги, како што е издавањето лични документи, сè уште не е достапно онлајн. Дури и офлајн овие основни услуги се влошија со дополнителни административни барања од граѓаните. Квалитетот на податоците во регистарот треба да се подобри бидејќи се користи како главен регистар во земјата. Законодавството за рамката за интероперабилност не е ажурирано во согласност со последните стандарди на ЕУ, додека самата алатка не се користи со целиот нејзин потенцијал од релевантните институции, што е пречка за напредувањето во </w:t>
      </w:r>
      <w:r w:rsidR="00BE2CB6" w:rsidRPr="00EA7926">
        <w:rPr>
          <w:rFonts w:ascii="Times New Roman" w:hAnsi="Times New Roman"/>
          <w:color w:val="000000"/>
          <w:sz w:val="24"/>
        </w:rPr>
        <w:t xml:space="preserve">обезбедувањето </w:t>
      </w:r>
      <w:r w:rsidRPr="00EA7926">
        <w:rPr>
          <w:rFonts w:ascii="Times New Roman" w:hAnsi="Times New Roman"/>
          <w:color w:val="000000"/>
          <w:sz w:val="24"/>
        </w:rPr>
        <w:t>дигитални услуги. Северна Македонија треба да обезбеди усогласување и со Европската рамка за интероперабилност (последна ревизија во 2017 година) и со Актот за интероперабилна Европа (2022).</w:t>
      </w:r>
    </w:p>
    <w:p w:rsidR="004B28D4" w:rsidRDefault="004B28D4" w:rsidP="004B28D4">
      <w:pPr>
        <w:shd w:val="clear" w:color="auto" w:fill="FFFFFF"/>
        <w:spacing w:before="120" w:after="120" w:line="240" w:lineRule="auto"/>
        <w:jc w:val="both"/>
        <w:rPr>
          <w:rFonts w:ascii="Times New Roman" w:hAnsi="Times New Roman"/>
          <w:color w:val="000000"/>
          <w:sz w:val="24"/>
        </w:rPr>
      </w:pPr>
      <w:r w:rsidRPr="00EA7926">
        <w:rPr>
          <w:rFonts w:ascii="Times New Roman" w:hAnsi="Times New Roman"/>
          <w:color w:val="000000"/>
          <w:sz w:val="24"/>
        </w:rPr>
        <w:t xml:space="preserve">Немаше напредок во насока на </w:t>
      </w:r>
      <w:r w:rsidRPr="00EA7926">
        <w:rPr>
          <w:rFonts w:ascii="Times New Roman" w:hAnsi="Times New Roman"/>
          <w:b/>
          <w:color w:val="000000"/>
          <w:sz w:val="24"/>
        </w:rPr>
        <w:t>поедноставување на административните постапки</w:t>
      </w:r>
      <w:r w:rsidRPr="00EA7926">
        <w:rPr>
          <w:rFonts w:ascii="Times New Roman" w:hAnsi="Times New Roman"/>
          <w:color w:val="000000"/>
          <w:sz w:val="24"/>
        </w:rPr>
        <w:t>. Законот за општата управна постапка сè уште не се спроведува систематски во администрацијата.</w:t>
      </w:r>
    </w:p>
    <w:p w:rsidR="009768C4" w:rsidRPr="005147EE" w:rsidRDefault="009768C4" w:rsidP="00A661C4">
      <w:pPr>
        <w:pStyle w:val="Heading2"/>
      </w:pPr>
      <w:bookmarkStart w:id="18" w:name="bookmark13"/>
      <w:bookmarkStart w:id="19" w:name="_Toc150864248"/>
      <w:r w:rsidRPr="005147EE">
        <w:t>2</w:t>
      </w:r>
      <w:bookmarkEnd w:id="18"/>
      <w:r w:rsidRPr="005147EE">
        <w:t>.2.</w:t>
      </w:r>
      <w:r w:rsidRPr="005147EE">
        <w:tab/>
        <w:t>Владеење на правото и фундаментални права</w:t>
      </w:r>
      <w:bookmarkEnd w:id="19"/>
    </w:p>
    <w:p w:rsidR="009768C4" w:rsidRPr="005147EE" w:rsidRDefault="009768C4" w:rsidP="00A661C4">
      <w:pPr>
        <w:pStyle w:val="Heading2"/>
      </w:pPr>
      <w:bookmarkStart w:id="20" w:name="bookmark14"/>
      <w:bookmarkStart w:id="21" w:name="_Toc150864249"/>
      <w:r w:rsidRPr="005147EE">
        <w:t>2</w:t>
      </w:r>
      <w:bookmarkEnd w:id="20"/>
      <w:r w:rsidRPr="005147EE">
        <w:t>.2.1.</w:t>
      </w:r>
      <w:r w:rsidRPr="005147EE">
        <w:tab/>
        <w:t>Поглавје 23: Правосудство и фундаментални права</w:t>
      </w:r>
      <w:bookmarkEnd w:id="21"/>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i/>
          <w:iCs/>
          <w:color w:val="000000"/>
          <w:sz w:val="24"/>
          <w:szCs w:val="24"/>
        </w:rPr>
        <w:t>Основните вредности на ЕУ вклучуваат владеење на правото и почитување на човековите права. Од огромно значење се постоењето ефективен (независен, висококвалитетен и ефикасен) правосуден систем и ефикасна борба против корупцијата, како што е и почитувањето на фундаменталните права во закон и во практика.</w:t>
      </w:r>
    </w:p>
    <w:p w:rsidR="009768C4" w:rsidRPr="005147EE"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Северна Македонија </w:t>
      </w:r>
      <w:r w:rsidRPr="005147EE">
        <w:rPr>
          <w:rFonts w:ascii="Times New Roman" w:hAnsi="Times New Roman"/>
          <w:b/>
          <w:bCs/>
          <w:color w:val="000000"/>
          <w:sz w:val="24"/>
          <w:szCs w:val="24"/>
        </w:rPr>
        <w:t xml:space="preserve">постигна ниво на подготвеност помеѓу одредено и умерено </w:t>
      </w:r>
      <w:r w:rsidRPr="005147EE">
        <w:rPr>
          <w:rFonts w:ascii="Times New Roman" w:hAnsi="Times New Roman"/>
          <w:color w:val="000000"/>
          <w:sz w:val="24"/>
          <w:szCs w:val="24"/>
        </w:rPr>
        <w:t xml:space="preserve">да го примени </w:t>
      </w:r>
      <w:r w:rsidRPr="005147EE">
        <w:rPr>
          <w:rFonts w:ascii="Times New Roman" w:hAnsi="Times New Roman"/>
          <w:i/>
          <w:iCs/>
          <w:color w:val="000000"/>
          <w:sz w:val="24"/>
          <w:szCs w:val="24"/>
        </w:rPr>
        <w:t>правото</w:t>
      </w:r>
      <w:r w:rsidRPr="005147EE">
        <w:rPr>
          <w:rFonts w:ascii="Times New Roman" w:hAnsi="Times New Roman"/>
          <w:color w:val="000000"/>
          <w:sz w:val="24"/>
          <w:szCs w:val="24"/>
        </w:rPr>
        <w:t xml:space="preserve"> на ЕУ и европските стандарди во оваа област. Севкупно, </w:t>
      </w:r>
      <w:r w:rsidRPr="005147EE">
        <w:rPr>
          <w:rFonts w:ascii="Times New Roman" w:hAnsi="Times New Roman"/>
          <w:b/>
          <w:bCs/>
          <w:color w:val="000000"/>
          <w:sz w:val="24"/>
          <w:szCs w:val="24"/>
        </w:rPr>
        <w:t>не е постигнат напредок</w:t>
      </w:r>
      <w:r w:rsidRPr="005147EE">
        <w:rPr>
          <w:rFonts w:ascii="Times New Roman" w:hAnsi="Times New Roman"/>
          <w:color w:val="000000"/>
          <w:sz w:val="24"/>
          <w:szCs w:val="24"/>
        </w:rPr>
        <w:t xml:space="preserve"> во зајакнувањето на судската независност и подобрувањето на правната рамка за заштита на фундаменталните права.</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b/>
          <w:bCs/>
          <w:color w:val="000000"/>
          <w:sz w:val="24"/>
          <w:szCs w:val="24"/>
        </w:rPr>
        <w:t>Функционирање на правосудството</w:t>
      </w:r>
    </w:p>
    <w:p w:rsidR="009768C4" w:rsidRPr="005147EE"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Во однос на судскиот систем, нивото на подготвеност на Северна Македонија е помеѓу </w:t>
      </w:r>
      <w:r w:rsidRPr="005147EE">
        <w:rPr>
          <w:rFonts w:ascii="Times New Roman" w:hAnsi="Times New Roman"/>
          <w:b/>
          <w:bCs/>
          <w:color w:val="000000"/>
          <w:sz w:val="24"/>
          <w:szCs w:val="24"/>
        </w:rPr>
        <w:t>одредено и умерено</w:t>
      </w:r>
      <w:r w:rsidRPr="005147EE">
        <w:rPr>
          <w:rFonts w:ascii="Times New Roman" w:hAnsi="Times New Roman"/>
          <w:color w:val="000000"/>
          <w:sz w:val="24"/>
          <w:szCs w:val="24"/>
        </w:rPr>
        <w:t xml:space="preserve">. Во текот на извештајниот период </w:t>
      </w:r>
      <w:r w:rsidRPr="005147EE">
        <w:rPr>
          <w:rFonts w:ascii="Times New Roman" w:hAnsi="Times New Roman"/>
          <w:b/>
          <w:bCs/>
          <w:color w:val="000000"/>
          <w:sz w:val="24"/>
          <w:szCs w:val="24"/>
        </w:rPr>
        <w:t>не е постигнат напредок</w:t>
      </w:r>
      <w:r w:rsidRPr="005147EE">
        <w:rPr>
          <w:rFonts w:ascii="Times New Roman" w:hAnsi="Times New Roman"/>
          <w:color w:val="000000"/>
          <w:sz w:val="24"/>
          <w:szCs w:val="24"/>
        </w:rPr>
        <w:t xml:space="preserve"> во областа на судството. Судскиот совет треба да се стреми кон заштита на интегритетот и на независноста на судиите и на институциите и треба да се спротивстави на секое надворешно влијание. Контроверзното разрешување на претседателот на Судскиот совет предизвика загриженост за несоодветно политичко влијание. Доцни донесувањето нова стратегија за реформа на правосудството. Таа треба да има за цел подобрување на функционирањето на институциите. Напредокот во спроведувањето на стратегиите за човечки ресурси за судството и за обвинителството е ограничен. Недостигот на мерки за справување со влијанието на планираните пензионирања, влијаеше врз ефикасноста. Повеќето унапредувања за повисоките судови се соочија со понатамошни одложувања. Продолжи надградбата на Информацискиот систем за автоматско управување со судски предмети (АКМИС) за распределба на предметите во судовите по случаен избор.</w:t>
      </w:r>
      <w:r w:rsidR="00AF05B3">
        <w:rPr>
          <w:rFonts w:ascii="Times New Roman" w:hAnsi="Times New Roman"/>
          <w:color w:val="000000"/>
          <w:sz w:val="24"/>
          <w:szCs w:val="24"/>
        </w:rPr>
        <w:t xml:space="preserve"> </w:t>
      </w:r>
      <w:r w:rsidRPr="005147EE">
        <w:rPr>
          <w:rFonts w:ascii="Times New Roman" w:hAnsi="Times New Roman"/>
          <w:color w:val="000000"/>
          <w:sz w:val="24"/>
          <w:szCs w:val="24"/>
        </w:rPr>
        <w:t>Сличен систем беше воведен и во Јавното обвинителство.</w:t>
      </w:r>
    </w:p>
    <w:p w:rsidR="009768C4" w:rsidRPr="005147EE"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Препораките на Комисијата од претходната година не беа спроведени и продолжуваат да важат. Во текот на наредната година, земјата особено треба:</w:t>
      </w:r>
    </w:p>
    <w:p w:rsidR="009768C4" w:rsidRPr="005147EE"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w:t>
      </w:r>
      <w:r w:rsidRPr="005147EE">
        <w:rPr>
          <w:rFonts w:ascii="Times New Roman" w:hAnsi="Times New Roman"/>
          <w:color w:val="000000"/>
          <w:sz w:val="24"/>
          <w:szCs w:val="24"/>
        </w:rPr>
        <w:tab/>
        <w:t>да заврши со спроведувањето на стратегијата за реформа на правосудството и на ажурираниот акциски план, со посебен фокус на донесување нов Закон за граѓанска постапка, во согласност со европските стандарди, и да ја подготви новата стратегија за реформа на правосудството (за 2023 – 2027 година) без одложување;</w:t>
      </w:r>
    </w:p>
    <w:p w:rsidR="009768C4" w:rsidRPr="005147EE"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w:t>
      </w:r>
      <w:r w:rsidRPr="005147EE">
        <w:rPr>
          <w:rFonts w:ascii="Times New Roman" w:hAnsi="Times New Roman"/>
          <w:color w:val="000000"/>
          <w:sz w:val="24"/>
          <w:szCs w:val="24"/>
        </w:rPr>
        <w:tab/>
        <w:t>да ја ревидира законодавната рамка и целокупното функционирање на Судскиот совет за да се зајакне неговата транспарентност и независност и да го забрза спроведувањето на стратегиите за човечки ресурси за судството и за обвинителството;</w:t>
      </w:r>
    </w:p>
    <w:p w:rsidR="009768C4" w:rsidRPr="005147EE"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w:t>
      </w:r>
      <w:r w:rsidRPr="005147EE">
        <w:rPr>
          <w:rFonts w:ascii="Times New Roman" w:hAnsi="Times New Roman"/>
          <w:color w:val="000000"/>
          <w:sz w:val="24"/>
          <w:szCs w:val="24"/>
        </w:rPr>
        <w:tab/>
        <w:t>да обезбеди целосна функционалност и компатибилност на АКМИС со нивото на сложеност на судските предмети и методот за оценување судии и претседатели на судови.</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u w:val="single"/>
        </w:rPr>
        <w:t>Стратешки документи</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Според извештајот за оцена на спроведувањето на </w:t>
      </w:r>
      <w:r w:rsidRPr="005147EE">
        <w:rPr>
          <w:rFonts w:ascii="Times New Roman" w:hAnsi="Times New Roman"/>
          <w:b/>
          <w:bCs/>
          <w:color w:val="000000"/>
          <w:sz w:val="24"/>
          <w:szCs w:val="24"/>
        </w:rPr>
        <w:t>стратегијата за реформи во правосудството</w:t>
      </w:r>
      <w:r w:rsidRPr="005147EE">
        <w:rPr>
          <w:rFonts w:ascii="Times New Roman" w:hAnsi="Times New Roman"/>
          <w:color w:val="000000"/>
          <w:sz w:val="24"/>
          <w:szCs w:val="24"/>
        </w:rPr>
        <w:t xml:space="preserve"> (2017 – 2022) за 2022 година, од 227 активности, 140 се целосно спроведени, 18 се во тек, 14 се одложени, 43 бараат континуирано спроведување, 6 се однесуваат на законодавни мерки што се во тек во Собранието, а 6 беа напуштени поради промена на пристапот. Процесот на донесување на новата стратегија за реформа на правосудството за 2023 – 2027 година, кој започна во септември 2022 година, доцни. Спроведувањето на Законот за </w:t>
      </w:r>
      <w:r>
        <w:rPr>
          <w:rFonts w:ascii="Times New Roman" w:hAnsi="Times New Roman"/>
          <w:color w:val="000000"/>
          <w:sz w:val="24"/>
          <w:szCs w:val="24"/>
        </w:rPr>
        <w:t>Ј</w:t>
      </w:r>
      <w:r w:rsidRPr="005147EE">
        <w:rPr>
          <w:rFonts w:ascii="Times New Roman" w:hAnsi="Times New Roman"/>
          <w:color w:val="000000"/>
          <w:sz w:val="24"/>
          <w:szCs w:val="24"/>
        </w:rPr>
        <w:t>авното обвинителство продолжи. Имаше ограничен напредок во спроведувањето на стратегиите за управување со човечки ресурси во судовите и во јавните обвинителства.</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u w:val="single"/>
        </w:rPr>
        <w:t>Раководни тела</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Има сериозна загриженост за несоодветно надворешно влијание врз работата на Судскиот совет и на судството. Во ноември 2022 година, претседателката на </w:t>
      </w:r>
      <w:r w:rsidRPr="005147EE">
        <w:rPr>
          <w:rFonts w:ascii="Times New Roman" w:hAnsi="Times New Roman"/>
          <w:b/>
          <w:bCs/>
          <w:color w:val="000000"/>
          <w:sz w:val="24"/>
          <w:szCs w:val="24"/>
        </w:rPr>
        <w:t xml:space="preserve">Судскиот совет </w:t>
      </w:r>
      <w:r w:rsidRPr="005147EE">
        <w:rPr>
          <w:rFonts w:ascii="Times New Roman" w:hAnsi="Times New Roman"/>
          <w:color w:val="000000"/>
          <w:sz w:val="24"/>
          <w:szCs w:val="24"/>
        </w:rPr>
        <w:t xml:space="preserve">поднесе оставка во знак на протест против наводните обиди за несоодветно влијание од судството и од бизнис-заедницата. Новата претседателка, која ја презеде функцијата во декември 2022 година, беше разрешена во април 2023 година во контроверзна постапка, отворајќи прашања за почитувањето на законите и на постапките. Граѓанските организации и правните експерти го осудија овој чекор без преседан и ги повикаа сите членови на Советот да поднесат оставки. Разрешената претседателка продолжи да ја извршува функцијата член на Советот. Во мај таа поднесе тужба до Управниот суд, со која ја оспорува законитоста на нејзиното разрешување, како и кривична пријава до Основното јавно обвинителство – Скопје против неколку нејзини колеги од Судскиот совет за злоупотреба на службената должност и овластување. Двајца </w:t>
      </w:r>
      <w:r>
        <w:rPr>
          <w:rFonts w:ascii="Times New Roman" w:hAnsi="Times New Roman"/>
          <w:color w:val="000000"/>
          <w:sz w:val="24"/>
          <w:szCs w:val="24"/>
        </w:rPr>
        <w:t>члена</w:t>
      </w:r>
      <w:r w:rsidRPr="005147EE">
        <w:rPr>
          <w:rFonts w:ascii="Times New Roman" w:hAnsi="Times New Roman"/>
          <w:color w:val="000000"/>
          <w:sz w:val="24"/>
          <w:szCs w:val="24"/>
        </w:rPr>
        <w:t xml:space="preserve"> на Судскиот совет, судии избрани од нивните колеги, поднесоа оставки во јуни 2023 година. </w:t>
      </w:r>
      <w:r w:rsidRPr="005147EE">
        <w:rPr>
          <w:rFonts w:ascii="Times New Roman" w:hAnsi="Times New Roman"/>
          <w:sz w:val="24"/>
          <w:szCs w:val="24"/>
        </w:rPr>
        <w:t>Една од нив објасни дека поднесува оставка поради незаконското и нетранспарентното разрешување на поранешната претседателка и несогласување со одредени ставови на Советот.</w:t>
      </w:r>
      <w:r w:rsidRPr="005147EE">
        <w:rPr>
          <w:rFonts w:ascii="Times New Roman" w:hAnsi="Times New Roman"/>
          <w:color w:val="000000"/>
          <w:sz w:val="24"/>
          <w:szCs w:val="24"/>
        </w:rPr>
        <w:t xml:space="preserve"> Другиот објави дека повеќе ќе придонесе ако работи како судија. Во јули, судиите избраа двајца нови членови, од кои едниот, судија на Врховниот суд, поднесе оставка набргу потоа, повикувајќи се на лични причини. Обидите на новиот претседател да го ограничи присуството на камерманите на седниците на Советот, престанаа по интервенциите на неколку граѓански организации и Судско-медиумскиот совет. Според Процената на ризиците од корупција во правосудството, објавена во јуни 2023 година, 72</w:t>
      </w:r>
      <w:r>
        <w:rPr>
          <w:rFonts w:ascii="Times New Roman" w:hAnsi="Times New Roman"/>
          <w:color w:val="000000"/>
          <w:sz w:val="24"/>
          <w:szCs w:val="24"/>
        </w:rPr>
        <w:t xml:space="preserve"> </w:t>
      </w:r>
      <w:r w:rsidRPr="005147EE">
        <w:rPr>
          <w:rFonts w:ascii="Times New Roman" w:hAnsi="Times New Roman"/>
          <w:color w:val="000000"/>
          <w:sz w:val="24"/>
          <w:szCs w:val="24"/>
        </w:rPr>
        <w:t>% од интервјуираните судии или целосно не се согласуваат (27%) или делумно не се согласуваат (45</w:t>
      </w:r>
      <w:r>
        <w:rPr>
          <w:rFonts w:ascii="Times New Roman" w:hAnsi="Times New Roman"/>
          <w:color w:val="000000"/>
          <w:sz w:val="24"/>
          <w:szCs w:val="24"/>
        </w:rPr>
        <w:t xml:space="preserve"> </w:t>
      </w:r>
      <w:r w:rsidRPr="005147EE">
        <w:rPr>
          <w:rFonts w:ascii="Times New Roman" w:hAnsi="Times New Roman"/>
          <w:color w:val="000000"/>
          <w:sz w:val="24"/>
          <w:szCs w:val="24"/>
        </w:rPr>
        <w:t>%) дека Судскиот совет ефикасно ја заштитува судската независност. Само 26</w:t>
      </w:r>
      <w:r>
        <w:rPr>
          <w:rFonts w:ascii="Times New Roman" w:hAnsi="Times New Roman"/>
          <w:color w:val="000000"/>
          <w:sz w:val="24"/>
          <w:szCs w:val="24"/>
        </w:rPr>
        <w:t xml:space="preserve"> </w:t>
      </w:r>
      <w:r w:rsidRPr="005147EE">
        <w:rPr>
          <w:rFonts w:ascii="Times New Roman" w:hAnsi="Times New Roman"/>
          <w:color w:val="000000"/>
          <w:sz w:val="24"/>
          <w:szCs w:val="24"/>
        </w:rPr>
        <w:t>% се согласуваат.</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Во март 2023 година, Уставниот суд укина два члена од Законот за Судскиот совет, со што им овозможи на сите членови на Советот, а не само на оние што се избрани од Собранието, да бидат избрани за претседател или за заменик. Новиот претседател и неговиот заменик, избрани во мај и јуни 2023 година, се судии. Во октомври 2022 година, Судскиот совет донесе Етички кодекс за своите членови. Во декември, Советот го измени својот Деловник заради подобро регулирање на постапките за утврдување одговорност на судија или на претседател на суд. Треба да се зголеми транспарентноста на процесот на одлучување на Советот.</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Во февруари и април 2023 година, обвинителите избраа двајца нови членови на </w:t>
      </w:r>
      <w:r w:rsidRPr="005147EE">
        <w:rPr>
          <w:rFonts w:ascii="Times New Roman" w:hAnsi="Times New Roman"/>
          <w:b/>
          <w:bCs/>
          <w:color w:val="000000"/>
          <w:sz w:val="24"/>
          <w:szCs w:val="24"/>
        </w:rPr>
        <w:t>Советот на јавни обвинители</w:t>
      </w:r>
      <w:r w:rsidRPr="005147EE">
        <w:rPr>
          <w:rFonts w:ascii="Times New Roman" w:hAnsi="Times New Roman"/>
          <w:color w:val="000000"/>
          <w:sz w:val="24"/>
          <w:szCs w:val="24"/>
        </w:rPr>
        <w:t xml:space="preserve"> на Република Северна Македонија (СЈОРСМ). Собранието избра двајца </w:t>
      </w:r>
      <w:r>
        <w:rPr>
          <w:rFonts w:ascii="Times New Roman" w:hAnsi="Times New Roman"/>
          <w:color w:val="000000"/>
          <w:sz w:val="24"/>
          <w:szCs w:val="24"/>
        </w:rPr>
        <w:t>члена</w:t>
      </w:r>
      <w:r w:rsidRPr="005147EE">
        <w:rPr>
          <w:rFonts w:ascii="Times New Roman" w:hAnsi="Times New Roman"/>
          <w:color w:val="000000"/>
          <w:sz w:val="24"/>
          <w:szCs w:val="24"/>
        </w:rPr>
        <w:t xml:space="preserve"> на СЈОРСМ со задоцнување. Во ноември 2022 година, повеќе од 160 јавни обвинители низ државата непосредно го избраа новиот шеф на Основното јавно обвинителство за гонење организиран криминал и корупција (ОЈОГОКК), применувајќи го за првпат Законот за јавно обвинителство од 2020 година и измените на Законот за СЈОРСМ. Изборите не помогнаа да се изгради довербата на јавноста во транспарентноста на процесот, имајќи предвид дека од почетокот не беа поставени критериуми за кандидирање и беше предизвикана сериозна загриженост за потенцијално надворешно влијание во процесот. СЈОРСМ ја подобри својата транспарентност со тоа што ги направи седниците достапни на платформите на социјалните медиуми, но сепак треба да даде образложение за своите одлуки. Медиумите имаат редовен пристап до Советот, но ограничениот физички простор на седниците на Советот претставува ограничување. Распределбата на буџетот за Советот се зголеми, но сè уште му недостигаат кадар и ИТ-ресурси потребни за ефективно извршување на неговите задачи.</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u w:val="single"/>
        </w:rPr>
        <w:t>Независност и непристрасност</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Судската независност е загарантирана со Уставот. И Судскиот совет и СЈОРСМ треба да дејствуваат решително за да ги унапредат и да ги заштитат независноста, интегритетот и професионалноста на судиите и на обвинителите. Потребни се дополнителни напори за да се зголеми транспарентноста и да се спречи секој обид за несоодветно влијание или заплашување. Спроведувањето на Декларацијата за отворено судство, потпишана во март 2022 година од 12 различни судски институции, ГО и професионални здруженија, предводени од Врховниот суд, продолжи и придонесе за подобрување на транспарентноста во судството. Судско-медиумскиот совет донесе двегодишен план за работа, кој се фокусира на подготовка на комуникациска стратегија и спроведе обука за комуникациски вештини за 40 судии и портпароли на судовите. Политичките чинители треба да се воздржат од јавно коментирање на судските постапки. Комисијата за надзор на функционалноста на </w:t>
      </w:r>
      <w:r w:rsidRPr="005147EE">
        <w:rPr>
          <w:rFonts w:ascii="Times New Roman" w:hAnsi="Times New Roman"/>
          <w:b/>
          <w:bCs/>
          <w:color w:val="000000"/>
          <w:sz w:val="24"/>
          <w:szCs w:val="24"/>
        </w:rPr>
        <w:t>информацискиот систем за автоматско управување со судски предмети</w:t>
      </w:r>
      <w:r w:rsidRPr="005147EE">
        <w:rPr>
          <w:rFonts w:ascii="Times New Roman" w:hAnsi="Times New Roman"/>
          <w:color w:val="000000"/>
          <w:sz w:val="24"/>
          <w:szCs w:val="24"/>
        </w:rPr>
        <w:t xml:space="preserve"> спроведе девет од вкупно 19 надзори планирани за 2022 година. Системот за електронска распределба на предметите во јавните обвинителства стана оперативен во јануари 2023 година. Потребни се веродостојни статистички податоци за работата на судството и на обвинителството, во согласност со препораките и со методологијата на Европската комисија за ефикасност на правдата (CEPEJ) (тело на Советот на Европа).</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u w:val="single"/>
        </w:rPr>
        <w:t>Отчетност</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Советодавното тело за судска етика на Здружението на судии не доби нови барања за мислење.</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Во 2022 година, Судскиот совет прими 72 барања за утврдување одговорност на 144 судии или претседатели на судови. Беа разрешени пет судии. Судскиот совет издаде писмена опомена на двајца судии и парично казни еден претседател на суд и еден судија. СЈОРСМ разреши еден обвинител и на нивно барање го прекина мандатот на двајца обвинители против кои беше поведена дисциплинска постапка. Четири судии беа разрешени поради непрофесионално работење, а еден за тежок дисциплински престап. Според анкетите, довербата на јавноста во судството падна на најниско ниво досега (околу 8</w:t>
      </w:r>
      <w:r>
        <w:rPr>
          <w:rFonts w:ascii="Times New Roman" w:hAnsi="Times New Roman"/>
          <w:color w:val="000000"/>
          <w:sz w:val="24"/>
          <w:szCs w:val="24"/>
        </w:rPr>
        <w:t xml:space="preserve"> </w:t>
      </w:r>
      <w:r w:rsidRPr="005147EE">
        <w:rPr>
          <w:rFonts w:ascii="Times New Roman" w:hAnsi="Times New Roman"/>
          <w:color w:val="000000"/>
          <w:sz w:val="24"/>
          <w:szCs w:val="24"/>
        </w:rPr>
        <w:t>%).</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Во 2022 година, Државната комисија за спречување на корупцијата издаде 11 прекршочни платни налози против шест судии, тројца претседатели на суд и двајца обвинители поради неподнесување анкетни листови или изјави за промена на нивната имотна состојба и интересите.</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u w:val="single"/>
        </w:rPr>
        <w:t xml:space="preserve">Стручност и </w:t>
      </w:r>
      <w:r>
        <w:rPr>
          <w:rFonts w:ascii="Times New Roman" w:hAnsi="Times New Roman"/>
          <w:color w:val="000000"/>
          <w:sz w:val="24"/>
          <w:szCs w:val="24"/>
          <w:u w:val="single"/>
        </w:rPr>
        <w:t>надлежност</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Судскиот совет избра четири претседатели на суд, двајца судии на Врховниот суд, двајца судии на Апелациониот суд во Гостивар, 27 судии во основните судови и еден претседател на суд. Советот назначи 17 судии да работат во други судови за период од една година. Изборите за повисоките судови дополнително беа одложени поради обиди за мешање во процесот на назначување судии и поради непостоење акредитирана компанија за спроведување психолошки тестови и тестови за интегритет за кандидатите за судии.</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СЈОРСМ назначи двајца обвинители во Републичкото јавно обвинителство (ЈОРСМ), четири во вишите ЈО, двајца шефови на основни ЈО и двајца нови обвинители во Основното јавно обвинителство за гонење организиран криминал и корупција (ОЈОГОКК). Во 2022 година, вкупно 5</w:t>
      </w:r>
      <w:r>
        <w:rPr>
          <w:rFonts w:ascii="Times New Roman" w:hAnsi="Times New Roman"/>
          <w:color w:val="000000"/>
          <w:sz w:val="24"/>
          <w:szCs w:val="24"/>
        </w:rPr>
        <w:t>.</w:t>
      </w:r>
      <w:r w:rsidRPr="005147EE">
        <w:rPr>
          <w:rFonts w:ascii="Times New Roman" w:hAnsi="Times New Roman"/>
          <w:color w:val="000000"/>
          <w:sz w:val="24"/>
          <w:szCs w:val="24"/>
        </w:rPr>
        <w:t>574 професионалци учествуваа на 227 обуки на работното место организирани од Академијата за судии и јавни обвинители.</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u w:val="single"/>
        </w:rPr>
        <w:t>Квалитет на правда</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Новиот закон за </w:t>
      </w:r>
      <w:r w:rsidRPr="005147EE">
        <w:rPr>
          <w:rFonts w:ascii="Times New Roman" w:hAnsi="Times New Roman"/>
          <w:b/>
          <w:bCs/>
          <w:color w:val="000000"/>
          <w:sz w:val="24"/>
          <w:szCs w:val="24"/>
        </w:rPr>
        <w:t>Академијата за судии и јавни обвинители</w:t>
      </w:r>
      <w:r w:rsidRPr="005147EE">
        <w:rPr>
          <w:rFonts w:ascii="Times New Roman" w:hAnsi="Times New Roman"/>
          <w:color w:val="000000"/>
          <w:sz w:val="24"/>
          <w:szCs w:val="24"/>
        </w:rPr>
        <w:t>, донесен во јуни 2023 година, ја потврди Академијата како единствена влезна точка во правосудството и обвинителството и ја примени препораката на Европската комисија да не се скратува почетната обука. Во пресрет на донесувањето на Законот, Академијата ги извести кандидатите од деветтата генерација дека приемниот квалификациски испит закажан од 29 мај до 4 јуни ќе се одложи, бидејќи со новиот закон се утврдува поинаков редослед на приемните тестови.</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Во основните судови и во ЈО беа вработени 57-те дипломци од седмата генерација. Судскиот совет објави конкурс во јуни 2023 година. СЈОРСМ избра 18 обвинители и објави нов конкурс. Академијата продолжи активно да соработува со Европската мрежа за правосудна обука (Е</w:t>
      </w:r>
      <w:r w:rsidRPr="00E256EB">
        <w:rPr>
          <w:rFonts w:ascii="Times New Roman" w:hAnsi="Times New Roman"/>
          <w:color w:val="000000"/>
          <w:sz w:val="24"/>
          <w:szCs w:val="24"/>
          <w:lang w:val="en-US"/>
        </w:rPr>
        <w:t>uropean Judicial Training Network</w:t>
      </w:r>
      <w:r w:rsidRPr="005147EE">
        <w:rPr>
          <w:rFonts w:ascii="Times New Roman" w:hAnsi="Times New Roman"/>
          <w:color w:val="000000"/>
          <w:sz w:val="24"/>
          <w:szCs w:val="24"/>
        </w:rPr>
        <w:t>) и со Академијата за европско право (</w:t>
      </w:r>
      <w:r w:rsidRPr="00E256EB">
        <w:rPr>
          <w:rFonts w:ascii="Times New Roman" w:hAnsi="Times New Roman"/>
          <w:color w:val="000000"/>
          <w:sz w:val="24"/>
          <w:szCs w:val="24"/>
          <w:lang w:val="en-US"/>
        </w:rPr>
        <w:t>Academy for European Law</w:t>
      </w:r>
      <w:r w:rsidRPr="005147EE">
        <w:rPr>
          <w:rFonts w:ascii="Times New Roman" w:hAnsi="Times New Roman"/>
          <w:color w:val="000000"/>
          <w:sz w:val="24"/>
          <w:szCs w:val="24"/>
        </w:rPr>
        <w:t>). Вкупниот буџет за иницијативите за обука во 2022 година изнесува 1,74 милиони евра, што е зголемување за 46,3</w:t>
      </w:r>
      <w:r>
        <w:rPr>
          <w:rFonts w:ascii="Times New Roman" w:hAnsi="Times New Roman"/>
          <w:color w:val="000000"/>
          <w:sz w:val="24"/>
          <w:szCs w:val="24"/>
        </w:rPr>
        <w:t xml:space="preserve"> </w:t>
      </w:r>
      <w:r w:rsidRPr="005147EE">
        <w:rPr>
          <w:rFonts w:ascii="Times New Roman" w:hAnsi="Times New Roman"/>
          <w:color w:val="000000"/>
          <w:sz w:val="24"/>
          <w:szCs w:val="24"/>
        </w:rPr>
        <w:t>% во споредба со претходната година. Беше примен еден толкувач.</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Врховниот суд и четирите апелациони судови придонесоа кон </w:t>
      </w:r>
      <w:r w:rsidRPr="005147EE">
        <w:rPr>
          <w:rFonts w:ascii="Times New Roman" w:hAnsi="Times New Roman"/>
          <w:b/>
          <w:bCs/>
          <w:color w:val="000000"/>
          <w:sz w:val="24"/>
          <w:szCs w:val="24"/>
        </w:rPr>
        <w:t>доследноста на пресудите</w:t>
      </w:r>
      <w:r w:rsidRPr="005147EE">
        <w:rPr>
          <w:rFonts w:ascii="Times New Roman" w:hAnsi="Times New Roman"/>
          <w:color w:val="000000"/>
          <w:sz w:val="24"/>
          <w:szCs w:val="24"/>
        </w:rPr>
        <w:t xml:space="preserve"> и усогласување на судските практики. Тие се фокусираа на проверка на случаи од високо ниво и случаи од јавен интерес. Врховниот суд, по иницијатива на својот претседател, донесе начелен став дека сите судови треба да ги објавуваат своите одлуки на своите веб-страници, без разлика дали се правосилни или не. Судот исто така донесе начелен став и за директна примена на Уставот и на Европската конвенција за човекови права во жалбените постапки против одлуките на Судскиот совет за разрешувањето судии или претседатели на судови. Врховниот суд донесе и објави 17 дополнителни начелни правни мислења, ставови и заклучоци.</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На крајот на 2022 година имало 409 судии (22,3 на 100.000 жители), од кои 61,3</w:t>
      </w:r>
      <w:r>
        <w:rPr>
          <w:rFonts w:ascii="Times New Roman" w:hAnsi="Times New Roman"/>
          <w:color w:val="000000"/>
          <w:sz w:val="24"/>
          <w:szCs w:val="24"/>
        </w:rPr>
        <w:t xml:space="preserve"> </w:t>
      </w:r>
      <w:r w:rsidRPr="005147EE">
        <w:rPr>
          <w:rFonts w:ascii="Times New Roman" w:hAnsi="Times New Roman"/>
          <w:color w:val="000000"/>
          <w:sz w:val="24"/>
          <w:szCs w:val="24"/>
        </w:rPr>
        <w:t>% жени судии, како и 157 обвинители (8,5 на 100.000 жители), од кои 55</w:t>
      </w:r>
      <w:r>
        <w:rPr>
          <w:rFonts w:ascii="Times New Roman" w:hAnsi="Times New Roman"/>
          <w:color w:val="000000"/>
          <w:sz w:val="24"/>
          <w:szCs w:val="24"/>
        </w:rPr>
        <w:t xml:space="preserve"> </w:t>
      </w:r>
      <w:r w:rsidRPr="005147EE">
        <w:rPr>
          <w:rFonts w:ascii="Times New Roman" w:hAnsi="Times New Roman"/>
          <w:color w:val="000000"/>
          <w:sz w:val="24"/>
          <w:szCs w:val="24"/>
        </w:rPr>
        <w:t xml:space="preserve">% жени. </w:t>
      </w:r>
      <w:r w:rsidRPr="005147EE">
        <w:rPr>
          <w:rFonts w:ascii="Times New Roman" w:hAnsi="Times New Roman"/>
          <w:sz w:val="24"/>
          <w:szCs w:val="24"/>
        </w:rPr>
        <w:t>Според CEPEJ, европските просеци се 22,2 судии и 18,8 обвинители на 100.000 жители.</w:t>
      </w:r>
      <w:r w:rsidRPr="005147EE">
        <w:rPr>
          <w:rFonts w:ascii="Times New Roman" w:hAnsi="Times New Roman"/>
          <w:color w:val="000000"/>
          <w:sz w:val="24"/>
          <w:szCs w:val="24"/>
        </w:rPr>
        <w:t xml:space="preserve"> Распределбата на буџетот за 2022 година за правосудниот систем изнесуваше околу 83,5 милиони евра. Планираните пензионирања беа еден од факторите што ги намалија бројките: пензионирани се 64 судии и 16 обвинители (48 пензионирани судии и 11 обвинители во 2022 година). Останува од суштинско значење да се забрза спроведувањето на стратегиите за човечки ресурси за судовите и за јавните обвинителства и однапред да се планира за потребите од кадар. Советот за дигитализација на правосудството продолжи да ја спроведува ИТ-стратегијата. За да вработи дополнителен ИТ-кадар, судството треба да понуди работни услови што се конкурентни со оние во приватниот сектор.</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Има 46 лиценцирани медијатори. Во 2022 година е постигната спогодба преку медијација во 397 од 918 случаи, а 121 се во тек. Релевантните комори, Академијата за судии и јавни обвинители и Здружението на судии треба да продолжат да ја промовираат медијацијата и други методи на</w:t>
      </w:r>
      <w:r w:rsidRPr="005147EE">
        <w:rPr>
          <w:rFonts w:ascii="Times New Roman" w:hAnsi="Times New Roman"/>
          <w:b/>
          <w:bCs/>
          <w:color w:val="000000"/>
          <w:sz w:val="24"/>
          <w:szCs w:val="24"/>
        </w:rPr>
        <w:t xml:space="preserve"> алтернативно решавање спорови</w:t>
      </w:r>
      <w:r w:rsidRPr="005147EE">
        <w:rPr>
          <w:rFonts w:ascii="Times New Roman" w:hAnsi="Times New Roman"/>
          <w:color w:val="000000"/>
          <w:sz w:val="24"/>
          <w:szCs w:val="24"/>
        </w:rPr>
        <w:t>. Телото задолжено за оценување и обезбедување квалитет на медијацијата е Националниот совет за медијација, кој с</w:t>
      </w:r>
      <w:r w:rsidRPr="00E256EB">
        <w:rPr>
          <w:rFonts w:ascii="Times New Roman" w:hAnsi="Times New Roman"/>
          <w:color w:val="000000"/>
          <w:sz w:val="24"/>
          <w:szCs w:val="24"/>
          <w:lang w:val="en-US"/>
        </w:rPr>
        <w:t>è</w:t>
      </w:r>
      <w:r w:rsidRPr="005147EE">
        <w:rPr>
          <w:rFonts w:ascii="Times New Roman" w:hAnsi="Times New Roman"/>
          <w:color w:val="000000"/>
          <w:sz w:val="24"/>
          <w:szCs w:val="24"/>
        </w:rPr>
        <w:t xml:space="preserve"> уште не е функционален.</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u w:val="single"/>
        </w:rPr>
        <w:t>Ефикасност</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Ефикасноста на судството беше под влијание на доцнењето на Судскиот совет при изборот на нови судии и ограничениот напредок во спроведувањето на стратегијата за човечки ресурси во судовите, што вклучува формирање нова мрежа на судови.</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Просечната </w:t>
      </w:r>
      <w:r w:rsidRPr="005147EE">
        <w:rPr>
          <w:rFonts w:ascii="Times New Roman" w:hAnsi="Times New Roman"/>
          <w:b/>
          <w:bCs/>
          <w:color w:val="000000"/>
          <w:sz w:val="24"/>
          <w:szCs w:val="24"/>
        </w:rPr>
        <w:t>стапка на решавање предмети</w:t>
      </w:r>
      <w:r w:rsidRPr="005147EE">
        <w:rPr>
          <w:rFonts w:ascii="Times New Roman" w:hAnsi="Times New Roman"/>
          <w:color w:val="000000"/>
          <w:sz w:val="24"/>
          <w:szCs w:val="24"/>
        </w:rPr>
        <w:t xml:space="preserve"> на основните судови падна од 100,8</w:t>
      </w:r>
      <w:r>
        <w:rPr>
          <w:rFonts w:ascii="Times New Roman" w:hAnsi="Times New Roman"/>
          <w:color w:val="000000"/>
          <w:sz w:val="24"/>
          <w:szCs w:val="24"/>
        </w:rPr>
        <w:t xml:space="preserve"> </w:t>
      </w:r>
      <w:r w:rsidRPr="005147EE">
        <w:rPr>
          <w:rFonts w:ascii="Times New Roman" w:hAnsi="Times New Roman"/>
          <w:color w:val="000000"/>
          <w:sz w:val="24"/>
          <w:szCs w:val="24"/>
        </w:rPr>
        <w:t>% на 97,8</w:t>
      </w:r>
      <w:r>
        <w:rPr>
          <w:rFonts w:ascii="Times New Roman" w:hAnsi="Times New Roman"/>
          <w:color w:val="000000"/>
          <w:sz w:val="24"/>
          <w:szCs w:val="24"/>
        </w:rPr>
        <w:t xml:space="preserve"> </w:t>
      </w:r>
      <w:r w:rsidRPr="005147EE">
        <w:rPr>
          <w:rFonts w:ascii="Times New Roman" w:hAnsi="Times New Roman"/>
          <w:color w:val="000000"/>
          <w:sz w:val="24"/>
          <w:szCs w:val="24"/>
        </w:rPr>
        <w:t>%. Бројот на незавршени предмети според старите процесни закони се зголеми. Не беа направени напори за спроведување на препораките на Венецијанската комисија за преиспитување на одредбите од Законот за употреба на јазиците поврзани со двојазичноста во судските постапки. Одлуката на Уставниот суд за укинување два члена од Законот за плата и други надоместоци на избрани и именувани лица, резултираше со зголемување на платите на судиите и на обвинителите. Допрва треба да се најде системско решение за прашањето за платите во правосудството, кои се сметаат за несоодветни. Не беа преземени никакви чекори за намалување на вкупните трошоци и на времетраењето на процесот на извршување (услугите на извршителот).</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b/>
          <w:bCs/>
          <w:color w:val="000000"/>
          <w:sz w:val="24"/>
          <w:szCs w:val="24"/>
        </w:rPr>
        <w:t>Борба против корупција</w:t>
      </w:r>
    </w:p>
    <w:p w:rsidR="009768C4" w:rsidRPr="005147EE"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Во однос на спречувањето и борбата против корупцијата, нивото на подготвеност на земјата е помеѓу </w:t>
      </w:r>
      <w:r w:rsidRPr="005147EE">
        <w:rPr>
          <w:rFonts w:ascii="Times New Roman" w:hAnsi="Times New Roman"/>
          <w:b/>
          <w:bCs/>
          <w:color w:val="000000"/>
          <w:sz w:val="24"/>
          <w:szCs w:val="24"/>
        </w:rPr>
        <w:t>одредено и умерено.</w:t>
      </w:r>
      <w:r w:rsidRPr="005147EE">
        <w:rPr>
          <w:rFonts w:ascii="Times New Roman" w:hAnsi="Times New Roman"/>
          <w:color w:val="000000"/>
          <w:sz w:val="24"/>
          <w:szCs w:val="24"/>
        </w:rPr>
        <w:t xml:space="preserve"> </w:t>
      </w:r>
      <w:r w:rsidRPr="005147EE">
        <w:rPr>
          <w:rFonts w:ascii="Times New Roman" w:hAnsi="Times New Roman"/>
          <w:bCs/>
          <w:color w:val="000000"/>
          <w:sz w:val="24"/>
          <w:szCs w:val="24"/>
        </w:rPr>
        <w:t>Не е постигнат</w:t>
      </w:r>
      <w:r w:rsidRPr="005147EE">
        <w:rPr>
          <w:rFonts w:ascii="Times New Roman" w:hAnsi="Times New Roman"/>
          <w:b/>
          <w:bCs/>
          <w:color w:val="000000"/>
          <w:sz w:val="24"/>
          <w:szCs w:val="24"/>
        </w:rPr>
        <w:t xml:space="preserve"> напредок.</w:t>
      </w:r>
      <w:r w:rsidRPr="005147EE">
        <w:rPr>
          <w:rFonts w:ascii="Times New Roman" w:hAnsi="Times New Roman"/>
          <w:color w:val="000000"/>
          <w:sz w:val="24"/>
          <w:szCs w:val="24"/>
        </w:rPr>
        <w:t xml:space="preserve"> Корупцијата останува распространета во многу области и претставува предмет на загриженост. Се зголемија одложувањата и преиначувањата на судењата на случаите на корупција на високо ниво, што резултираше со застарување на некои случаи. Кривичниот законик беше изменет по итна собраниска постапка. Максималните законски казни за конкретни кривични дела поврзани со корупција беа намалени, што имаше последици врз примената на застареноста и влијаеше, прекинуваше или дури запираше голем број случаи на корупција на високо ниво, вклучително и случаи од поранешното Специјално јавно обвинителство (СЈО). Измените, исто така, ја попречуваат способноста на органите да ги истражуваат и да ги гонат таквите дела. Ова е предмет на сериозна загриженост.</w:t>
      </w:r>
    </w:p>
    <w:p w:rsidR="009768C4" w:rsidRPr="005147EE"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Државната комисија за спречување на корупцијата беше проактивна во обезбедувањето насоки за политики за спречување корупција за јавните институции. Таа отвори неколку предмети, но нејзините препораки треба ефективно да се спроведат. Напорите за подобрување на функционирањето на Државната комисија за спречување на корупцијата треба да продолжат, особено преку дополнително доделување финансии за вработување стручен кадар. Исто така, треба да се направат достапни дополнителни човечки ресурси и финансиски средства за Јавното обвинителство, за истражните центри и за единиците за спроведување на законот надлежни за истражување на корупцијата. За секторите што се најподложни на корупција, потребни се насочени процени на ризици и наменски дејства.</w:t>
      </w:r>
    </w:p>
    <w:p w:rsidR="009768C4" w:rsidRPr="005147EE"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Не е постапено во целост по препораките од минатата година и тие остануваат важечки. Во текот на наредната година, земјата особено треба:</w:t>
      </w:r>
    </w:p>
    <w:p w:rsidR="009768C4" w:rsidRPr="005147EE"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w:t>
      </w:r>
      <w:r w:rsidRPr="005147EE">
        <w:rPr>
          <w:rFonts w:ascii="Times New Roman" w:hAnsi="Times New Roman"/>
          <w:color w:val="000000"/>
          <w:sz w:val="24"/>
          <w:szCs w:val="24"/>
        </w:rPr>
        <w:tab/>
        <w:t xml:space="preserve">да го подобри спроведувањето на </w:t>
      </w:r>
      <w:r w:rsidR="009642BF">
        <w:rPr>
          <w:rFonts w:ascii="Times New Roman" w:hAnsi="Times New Roman"/>
          <w:color w:val="000000"/>
          <w:sz w:val="24"/>
          <w:szCs w:val="24"/>
        </w:rPr>
        <w:t>Н</w:t>
      </w:r>
      <w:r w:rsidRPr="005147EE">
        <w:rPr>
          <w:rFonts w:ascii="Times New Roman" w:hAnsi="Times New Roman"/>
          <w:color w:val="000000"/>
          <w:sz w:val="24"/>
          <w:szCs w:val="24"/>
        </w:rPr>
        <w:t>ационалната стратегија за спречување корупција и судир на интереси и соодветно да ги спроведува препораките на ГРЕКО;</w:t>
      </w:r>
    </w:p>
    <w:p w:rsidR="009768C4" w:rsidRPr="005147EE"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w:t>
      </w:r>
      <w:r w:rsidRPr="005147EE">
        <w:rPr>
          <w:rFonts w:ascii="Times New Roman" w:hAnsi="Times New Roman"/>
          <w:color w:val="000000"/>
          <w:sz w:val="24"/>
          <w:szCs w:val="24"/>
        </w:rPr>
        <w:tab/>
        <w:t xml:space="preserve"> да додели доволни човечки и финансиски ресурси на Основното јавно обвинителство за гонење организиран криминал и корупција, вклучувајќи и финансиски експерти, со цел да се осигури ефективна отчетност за предметите на корупција на високо ниво;</w:t>
      </w:r>
    </w:p>
    <w:p w:rsidR="009768C4" w:rsidRPr="005147EE"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bookmarkStart w:id="22" w:name="_Hlk150688575"/>
      <w:r w:rsidRPr="005147EE">
        <w:rPr>
          <w:rFonts w:ascii="Times New Roman" w:hAnsi="Times New Roman"/>
          <w:color w:val="000000"/>
          <w:sz w:val="24"/>
          <w:szCs w:val="24"/>
        </w:rPr>
        <w:t>→</w:t>
      </w:r>
      <w:r w:rsidRPr="005147EE">
        <w:rPr>
          <w:rFonts w:ascii="Times New Roman" w:hAnsi="Times New Roman"/>
          <w:color w:val="000000"/>
          <w:sz w:val="24"/>
          <w:szCs w:val="24"/>
        </w:rPr>
        <w:tab/>
        <w:t xml:space="preserve"> да го подобри резултатот во предметите на корупција на високо ниво – со навремени, професионални и транспарентни проактивни истраги, гонење, правосилни </w:t>
      </w:r>
      <w:bookmarkEnd w:id="22"/>
      <w:r w:rsidRPr="005147EE">
        <w:rPr>
          <w:rFonts w:ascii="Times New Roman" w:hAnsi="Times New Roman"/>
          <w:color w:val="000000"/>
          <w:sz w:val="24"/>
          <w:szCs w:val="24"/>
        </w:rPr>
        <w:t>пресуди и поврат, вклучувајќи и конфискација на криминални средства, конфискација заснована на вредност, проширена конфискација и конфискација од трета страна.</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u w:val="single"/>
        </w:rPr>
        <w:t>Резултати</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Северна Македонија продолжува да истражува, да гони и да суди предмети на корупција, вклучително и предмети на корупција на високо ниво. Постои загриженост за обрасците што произлегуваат од, но не се ограничени на, неколку случаи што претходно ги истражуваше </w:t>
      </w:r>
      <w:r w:rsidRPr="005147EE">
        <w:rPr>
          <w:rFonts w:ascii="Times New Roman" w:hAnsi="Times New Roman"/>
          <w:b/>
          <w:bCs/>
          <w:color w:val="000000"/>
          <w:sz w:val="24"/>
          <w:szCs w:val="24"/>
        </w:rPr>
        <w:t>поранешното Специјално јавно обвинителство</w:t>
      </w:r>
      <w:r w:rsidRPr="005147EE">
        <w:rPr>
          <w:rFonts w:ascii="Times New Roman" w:hAnsi="Times New Roman"/>
          <w:color w:val="000000"/>
          <w:sz w:val="24"/>
          <w:szCs w:val="24"/>
        </w:rPr>
        <w:t xml:space="preserve"> по донесувањето на првостепените пресуди. Тие вклучуваат зголемен број одложувања и преиначувања, што резултира со застареност на некои случаи. Најчестите причини за одложување го вклучуваат отсуството на обвинетите или на бранителите, на обвинителите, главно поради здравствени проблеми, и на членовите на судечките совети, кога тие се назначени во друг суд. Судиите мора проактивно и ефикасно да управуваат со своите предмети за да обезбедат навремена правда. Во овој поглед треба да се осигури судска отчетност.</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Судењата за предметите на поранешното Специјално јавно обвинителство продолжија да се одвиваат главно под надлежност на Основното јавно обвинителство за гонење организиран криминал и корупција (ОЈОГОКК). Досега има </w:t>
      </w:r>
      <w:r w:rsidRPr="005147EE">
        <w:rPr>
          <w:rFonts w:ascii="Times New Roman" w:hAnsi="Times New Roman"/>
          <w:b/>
          <w:bCs/>
          <w:color w:val="000000"/>
          <w:sz w:val="24"/>
          <w:szCs w:val="24"/>
        </w:rPr>
        <w:t>правосилни пресуди</w:t>
      </w:r>
      <w:r w:rsidRPr="005147EE">
        <w:rPr>
          <w:rFonts w:ascii="Times New Roman" w:hAnsi="Times New Roman"/>
          <w:color w:val="000000"/>
          <w:sz w:val="24"/>
          <w:szCs w:val="24"/>
        </w:rPr>
        <w:t xml:space="preserve"> во 12 предмети на корупција на високо ниво. </w:t>
      </w:r>
      <w:r w:rsidRPr="005147EE">
        <w:rPr>
          <w:rFonts w:ascii="Times New Roman" w:hAnsi="Times New Roman"/>
          <w:b/>
          <w:bCs/>
          <w:color w:val="000000"/>
          <w:sz w:val="24"/>
          <w:szCs w:val="24"/>
        </w:rPr>
        <w:t>Првостепени пресуди</w:t>
      </w:r>
      <w:r w:rsidRPr="005147EE">
        <w:rPr>
          <w:rFonts w:ascii="Times New Roman" w:hAnsi="Times New Roman"/>
          <w:color w:val="000000"/>
          <w:sz w:val="24"/>
          <w:szCs w:val="24"/>
        </w:rPr>
        <w:t xml:space="preserve"> беа донесени во 37 предмети на корупција на високо ниво. Во 27-те случаи на поранешното СЈО што треба да ги гони ОЈОГОКК, има правосилни пресуди во шест случаи, додека судењата се во тек за повеќето од нив. Во 2022 година ОЈОГОКК отвори 39 предмети на наводна корупција против 148 физички и шест правни лица. Измените на Кривичниот законик од септември 2023 година предизвикуваат сериозна загриженост поради нивното влијание врз случаите на поранешното СЈО, бидејќи голем дел од предметите се однесуваа на делата чии одредби беа изменети. Намалените рокови на застареност влијаат, прекинуваат или дури доведуваат до запирање на голем број случаи. Откако измените стапија на сила на средината на септември, дел од случаите на поранешното СЈО беа запрени или беа одложени рочиштата бидејќи обвиненијата повеќе не беа важечки или настапи застареност.</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Во 2022 година беа отворени 12 истраги, поднесени се пријави во четири случаи против 20 лица. Еден е случај од високо ниво против поранешен генерален секретар на Владата за злоупотреба на службената положба.</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Во 2022 година беа изречени 16 првостепени пресуди против 62 лица, а 8 второстепени пресуди се изречени против 40 лица.</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Во 2022 година беа изречени 35 казни за кривични дела (во споредба со 23 во 2021 година). Во овие случаи шест лица (14 во 2021 година) беа осудени на затворска казна, додека 29 (девет во 2021 година) добија условни казни.</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b/>
          <w:bCs/>
          <w:color w:val="000000"/>
          <w:sz w:val="24"/>
          <w:szCs w:val="24"/>
        </w:rPr>
        <w:t>Државната комисија за спречување на корупцијата</w:t>
      </w:r>
      <w:r w:rsidRPr="005147EE">
        <w:rPr>
          <w:rFonts w:ascii="Times New Roman" w:hAnsi="Times New Roman"/>
          <w:color w:val="000000"/>
          <w:sz w:val="24"/>
          <w:szCs w:val="24"/>
        </w:rPr>
        <w:t xml:space="preserve"> продолжи да ја исполнува својата улога и отвори неколку нови предмети. </w:t>
      </w:r>
      <w:r w:rsidRPr="005147EE">
        <w:rPr>
          <w:rFonts w:ascii="Times New Roman" w:hAnsi="Times New Roman"/>
          <w:sz w:val="24"/>
          <w:szCs w:val="24"/>
        </w:rPr>
        <w:t xml:space="preserve">Во 2022 година ДКСК обработила вкупно 145 предмети (106 во 2021 година) на наводен </w:t>
      </w:r>
      <w:r w:rsidRPr="005147EE">
        <w:rPr>
          <w:rFonts w:ascii="Times New Roman" w:hAnsi="Times New Roman"/>
          <w:b/>
          <w:bCs/>
          <w:sz w:val="24"/>
          <w:szCs w:val="24"/>
        </w:rPr>
        <w:t>судир на интереси</w:t>
      </w:r>
      <w:r w:rsidRPr="005147EE">
        <w:rPr>
          <w:rFonts w:ascii="Times New Roman" w:hAnsi="Times New Roman"/>
          <w:sz w:val="24"/>
          <w:szCs w:val="24"/>
        </w:rPr>
        <w:t xml:space="preserve">, од кои 27 (17 во 2021 година) </w:t>
      </w:r>
      <w:r w:rsidR="000241FC">
        <w:rPr>
          <w:rFonts w:ascii="Times New Roman" w:hAnsi="Times New Roman"/>
          <w:sz w:val="24"/>
          <w:szCs w:val="24"/>
        </w:rPr>
        <w:t>беа</w:t>
      </w:r>
      <w:r w:rsidRPr="005147EE">
        <w:rPr>
          <w:rFonts w:ascii="Times New Roman" w:hAnsi="Times New Roman"/>
          <w:sz w:val="24"/>
          <w:szCs w:val="24"/>
        </w:rPr>
        <w:t xml:space="preserve"> поведени од самата ДКСК, а 118 (89 во 2021 година) по барање на други страни.</w:t>
      </w:r>
      <w:r w:rsidRPr="005147EE">
        <w:rPr>
          <w:rFonts w:ascii="Times New Roman" w:hAnsi="Times New Roman"/>
          <w:color w:val="000000"/>
          <w:sz w:val="24"/>
          <w:szCs w:val="24"/>
        </w:rPr>
        <w:t xml:space="preserve"> Во 2022 година се затворени 161 предмет (152 во 2021 година), од кои 18 се од 2019 година, 20 од 2020 година и 53 се од 2021 година. Во 2022 година е утврден судир на интереси во шест предмети (два во 2021 година). До надлежниот орган се поднесени иницијативи со кои се бара да се утврди одговорност, што резултираше со две дисциплински постапки. ДКСК даде мислења за 87 од вкупно 88 примени барања. Во 2022 година ДКСК утврди основи за сомневање за кршење на Законот за спречување на корупцијата и судирот на интереси, што резултираше со 37 прекршочни платни налози (32 во 2021 година).</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ДКСК исто така поднесе три барања до Прекршочната комисија на ДКСК за поведување прекршочна постапка против службени лица. За нерегуларности во </w:t>
      </w:r>
      <w:r w:rsidRPr="005147EE">
        <w:rPr>
          <w:rFonts w:ascii="Times New Roman" w:hAnsi="Times New Roman"/>
          <w:b/>
          <w:bCs/>
          <w:color w:val="000000"/>
          <w:sz w:val="24"/>
          <w:szCs w:val="24"/>
        </w:rPr>
        <w:t>анкетните листови</w:t>
      </w:r>
      <w:r w:rsidRPr="005147EE">
        <w:rPr>
          <w:rFonts w:ascii="Times New Roman" w:hAnsi="Times New Roman"/>
          <w:color w:val="000000"/>
          <w:sz w:val="24"/>
          <w:szCs w:val="24"/>
        </w:rPr>
        <w:t>, во 2022 година ДКСК издаде 372 прекршочни платни налози (86 во 2021 година), од кои 367 се однесуваат на казни за прекршоци сторени во согласност со член 82 од Граѓанскиот законик, а пет за непријавено зголемување на имотот. Во јануари 2023 година, ДКСК донесе годишен план за следење на сопственоста на имот и други интереси, во кој беа вклучени 21 службено лице: пет обвинители, пет судии, шест пратеници и пет носители на јавни функции во Владата.</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Во 2022 година се поведени 583 предмети на </w:t>
      </w:r>
      <w:r w:rsidRPr="005147EE">
        <w:rPr>
          <w:rFonts w:ascii="Times New Roman" w:hAnsi="Times New Roman"/>
          <w:b/>
          <w:bCs/>
          <w:color w:val="000000"/>
          <w:sz w:val="24"/>
          <w:szCs w:val="24"/>
        </w:rPr>
        <w:t>корупција</w:t>
      </w:r>
      <w:r w:rsidRPr="005147EE">
        <w:rPr>
          <w:rFonts w:ascii="Times New Roman" w:hAnsi="Times New Roman"/>
          <w:color w:val="000000"/>
          <w:sz w:val="24"/>
          <w:szCs w:val="24"/>
        </w:rPr>
        <w:t xml:space="preserve"> (599 во 2021 година), 20 по иницијатива на ДКСК (16 во 2021 година) и 563 по пријави доставени од трети страни (583 во 2021 година). Од поведените случаи, постапено е по 560 (404 во 2021 година). Од поведените предмети по доставени пријави, ДКСК во 12 предмети утврди основа за сомнение за прекршување на Кривичниот законик (11 во 2021 година) и поднесе соодветни предлози до основниот јавен обвинител во сите 12 случаи. ДКСК поведе иницијативи со кои побара од надлежните органи да утврдат кои службени лица се одговорни за кои прекршоци во шест случаи (пет во 2021 година). Дополнително, до државните институции и органи се доставени 12 препораки и две укажувања со кои се повикуваат да преземат конкретни мерки како одговор на утврдените околности.</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Извештајот за четвртиот круг на евалуација на ГРЕКО за спречување на корупцијата во однос на пратениците, судиите и обвинителите, содржеше 19 препораки за Северна Македонија. Во извештајот за спроведување на овие препораки, ГРЕКО заклучи дека девет од 19 препораки биле спроведени (или третирани) на задоволително ниво, девет биле делумно спроведени и една не била спроведена. Во март 2023 година, Северна Македонија поднесе ситуациски извештај до ГРЕКО за преземените мерки за спроведување на преостанатите препораки.</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Собраниската Комисија за деловнички и имунитетни прашања донесе наставна програма за обука за работилница за етички кодекс за пратеници, по препорака на ГРЕКО.</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Во јуни 2023 година, ГРЕКО го донесе вториот извештај за усогласеност во спречувањето корупција и унапредување на интегритетот (како дел од Петтиот круг на евалуација), кој заклучи дека 13 од 23 препораки биле спроведени задоволително, девет биле делумно спроведени и една не била спроведена.</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u w:val="single"/>
        </w:rPr>
        <w:t>Институционална рамка</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i/>
          <w:iCs/>
          <w:color w:val="000000"/>
          <w:sz w:val="24"/>
          <w:szCs w:val="24"/>
        </w:rPr>
        <w:t>Превентивни мерки</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Законот за спречување на корупцијата и на судирот на интереси треба целосно да се спроведе. ДКСК продолжи проактивно да ја исполнува својата улога на давање совети за политики до јавните институции.</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ДКСК треба дополнително да го зајакне својот капацитет за поднесување иницијативи пред надлежните органи по сопствена иницијатива, идентификувајќи ги можните неправилности што с</w:t>
      </w:r>
      <w:r w:rsidRPr="00E256EB">
        <w:rPr>
          <w:rFonts w:ascii="Times New Roman" w:hAnsi="Times New Roman"/>
          <w:color w:val="000000"/>
          <w:sz w:val="24"/>
          <w:szCs w:val="24"/>
        </w:rPr>
        <w:t>è</w:t>
      </w:r>
      <w:r w:rsidRPr="005147EE">
        <w:rPr>
          <w:rFonts w:ascii="Times New Roman" w:hAnsi="Times New Roman"/>
          <w:color w:val="000000"/>
          <w:sz w:val="24"/>
          <w:szCs w:val="24"/>
        </w:rPr>
        <w:t xml:space="preserve"> уште не се пријавени во медиумите. Многу често, заклучоците од извештаите на ДКСК не се спроведуваат од засегнатите институции. </w:t>
      </w:r>
      <w:r w:rsidRPr="005147EE">
        <w:rPr>
          <w:rFonts w:ascii="Times New Roman" w:hAnsi="Times New Roman"/>
          <w:sz w:val="24"/>
          <w:szCs w:val="24"/>
        </w:rPr>
        <w:t>Капацитетот на ДКСК да ги провери изјавите за интереси и изјавите за имотна состојба е ограничен бидејќи податоците не се систематски вкрстено проверени во однос на податоците запишани во катастарот (имотен регистар) или кои ги имаат други релевантни институции.</w:t>
      </w:r>
      <w:r w:rsidRPr="005147EE">
        <w:rPr>
          <w:rFonts w:ascii="Times New Roman" w:hAnsi="Times New Roman"/>
          <w:color w:val="000000"/>
          <w:sz w:val="24"/>
          <w:szCs w:val="24"/>
        </w:rPr>
        <w:t xml:space="preserve"> Вкрстените проверки се вршат само на анкетните листови на околу 20 службени лица годишно, избрани според специфични критериуми.</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До крајот на 2022 година, бројот на вработени во ДКСК се зголеми од 34 во 2021 година на 48 (во споредба со планираните 64). Буџетот на ДКСК за 2023 година, исто така, се зголеми за приближно 15% во споредба со буџетот за 2022 година, главно благодарение на поддршката од донаторите. Потребни се натамошни активности за зајакнување и поддршка на ДКСК и за да се обезбедат соодветни ресурси. ДКСК ќе има корист од стручен кадар со истражувачко искуство, за поефикасна проверка на анкетните листови за имотна состојба. Понатаму, ДКСК треба да се зајакне за да овозможи размена на информации со соседните земји. Воспоставени се нови ИТ-софтверски решенија заради зголемување на споделувањето информации со сите јавни институции за спречување на корупцијата и зголемување на интегритетот во јавниот сектор, обезбедување заштита за укажувачите и следење на спроведувањето на </w:t>
      </w:r>
      <w:r w:rsidR="009642BF">
        <w:rPr>
          <w:rFonts w:ascii="Times New Roman" w:hAnsi="Times New Roman"/>
          <w:color w:val="000000"/>
          <w:sz w:val="24"/>
          <w:szCs w:val="24"/>
        </w:rPr>
        <w:t>Н</w:t>
      </w:r>
      <w:r w:rsidRPr="005147EE">
        <w:rPr>
          <w:rFonts w:ascii="Times New Roman" w:hAnsi="Times New Roman"/>
          <w:color w:val="000000"/>
          <w:sz w:val="24"/>
          <w:szCs w:val="24"/>
        </w:rPr>
        <w:t>ационалната стратегија за спречување корупција. Софтверот што овозможува комуникација помеѓу ИТ-системите на катастарот, Управата за јавни приходи, Министерството за внатрешни работи и Централниот регистар, мора да биде функционален навреме и мора да овозможи поефективни проверки на анкетните листови за имотна состојба. Продолжуваат напорите за подобрување на транспарентноста и на интегритетот на јавните институции. ДКСК донесе политика за интегритет со насоки за државните органи и за институциите во јавниот сектор, како и насоки за локалната самоуправа. До крајот на 2022 година, вкупно 85 институции потпишаа политика за интегритет и именуваа лица за контакт за овие прашања (18 државни органи и институции во јавниот сектор и 67 единици на локалната самоуправа).</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Беше организирана обука за интегритет за министерствата, за државните органи и за единиците на локалната самоуправа. Во рамките на ДКСК беше формиран центар за обука. ДКСК работи и на софтверски решенија за обуки, а беа организирани и кампањи за подигање на јавната свест за интегритет, за заштита на укажувачите и општо за борба против корупцијата.</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Во 2022 година Министерството за внатрешни работи ја донесе својата редовна внатрешна антикорупциска програма со акциски план и обезбеди обука за поврзани теми за вработените.</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i/>
          <w:iCs/>
          <w:color w:val="000000"/>
          <w:sz w:val="24"/>
          <w:szCs w:val="24"/>
        </w:rPr>
        <w:t>Спроведување на законот</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Главните институции за спроведување на законот за борба против корупцијата се Основното јавно обвинителство за гонење организиран криминал и корупција (ОЈОГОКК) при Јавното обвинителство и Одделот за сузбивање организиран и сериозен криминал при Министерството за внатрешни работи. ОЈОГОКК ги наследи најголемиот дел од случаите од високо ниво од поранешното Специјално јавно обвинителство. ОЈОГОКК сè уште се нема преселено во новите простории. Кадарот и буџетот се недоволни за ефективно справување со случаите на корупција и на организиран криминал.</w:t>
      </w:r>
      <w:r w:rsidRPr="00E256EB">
        <w:rPr>
          <w:rFonts w:ascii="Times New Roman" w:hAnsi="Times New Roman"/>
          <w:color w:val="000000"/>
          <w:sz w:val="24"/>
          <w:szCs w:val="24"/>
        </w:rPr>
        <w:t xml:space="preserve"> </w:t>
      </w:r>
      <w:r w:rsidRPr="005147EE">
        <w:rPr>
          <w:rFonts w:ascii="Times New Roman" w:hAnsi="Times New Roman"/>
          <w:color w:val="000000"/>
          <w:sz w:val="24"/>
          <w:szCs w:val="24"/>
        </w:rPr>
        <w:t>Во моментов во ОЈОГОКК работат 14 обвинители. Тоа сè уште не е доволно со оглед на широкиот опсег на задачи на ОЈОГОКК. Има четири истражители, девет соработници и 16 вработени како помошен кадар што им помагаат на обвинителите, но нема финансиски експерти или аналитичари. На Обвинителството сè уште му недостасува стратешко планирање во постапувањето со истрагите и со случаите, што влијае врз неговата севкупна ефикасност. Обвинителството би можело да биде поефикасно доколку се воведат повеќе специјализации и доколку ресурсите се сосредоточат на најкомплицираните случаи.</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На крајот на 2022 година ОЈОГОКК склучи договори за соработка со Централниот регистар и со Агенцијата за катастар на недвижности што му овозможи директен пристап до нивните бази на податоци. Слични договори треба да се склучат и со Банкарската асоцијација, Министерството за внатрешни работи и </w:t>
      </w:r>
      <w:r>
        <w:rPr>
          <w:rFonts w:ascii="Times New Roman" w:hAnsi="Times New Roman"/>
          <w:color w:val="000000"/>
          <w:sz w:val="24"/>
          <w:szCs w:val="24"/>
        </w:rPr>
        <w:t xml:space="preserve">со </w:t>
      </w:r>
      <w:r w:rsidRPr="005147EE">
        <w:rPr>
          <w:rFonts w:ascii="Times New Roman" w:hAnsi="Times New Roman"/>
          <w:color w:val="000000"/>
          <w:sz w:val="24"/>
          <w:szCs w:val="24"/>
        </w:rPr>
        <w:t>Агенцијата за вработување. ОЈОГОКК треба да ја зголеми соработката, споделувањето информации и да ги спроведува иницијативите и препораките на ДКСК.</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Државниот завод за ревизија, истражниот центар/судската полиција во ЈО и полицијата немаат доволно ресурси за следење случаи на високо ниво. </w:t>
      </w:r>
      <w:r>
        <w:rPr>
          <w:rFonts w:ascii="Times New Roman" w:hAnsi="Times New Roman"/>
          <w:color w:val="000000"/>
          <w:sz w:val="24"/>
          <w:szCs w:val="24"/>
        </w:rPr>
        <w:t>Г</w:t>
      </w:r>
      <w:r w:rsidRPr="005147EE">
        <w:rPr>
          <w:rFonts w:ascii="Times New Roman" w:hAnsi="Times New Roman"/>
          <w:color w:val="000000"/>
          <w:sz w:val="24"/>
          <w:szCs w:val="24"/>
        </w:rPr>
        <w:t xml:space="preserve">лавен проблем остануваат </w:t>
      </w:r>
      <w:r>
        <w:rPr>
          <w:rFonts w:ascii="Times New Roman" w:hAnsi="Times New Roman"/>
          <w:color w:val="000000"/>
          <w:sz w:val="24"/>
          <w:szCs w:val="24"/>
        </w:rPr>
        <w:t>о</w:t>
      </w:r>
      <w:r w:rsidRPr="005147EE">
        <w:rPr>
          <w:rFonts w:ascii="Times New Roman" w:hAnsi="Times New Roman"/>
          <w:color w:val="000000"/>
          <w:sz w:val="24"/>
          <w:szCs w:val="24"/>
        </w:rPr>
        <w:t xml:space="preserve">граничената и делумно несоодветна техничка опрема и капацитети. Потребно е да се подобри квалитетот и ефикасноста на истрагите. Покрај тоа, во многу случаи има потреба истрагите да бидат придружени со паралелни финансиски истраги на лица и </w:t>
      </w:r>
      <w:r>
        <w:rPr>
          <w:rFonts w:ascii="Times New Roman" w:hAnsi="Times New Roman"/>
          <w:color w:val="000000"/>
          <w:sz w:val="24"/>
          <w:szCs w:val="24"/>
        </w:rPr>
        <w:t xml:space="preserve">на </w:t>
      </w:r>
      <w:r w:rsidRPr="005147EE">
        <w:rPr>
          <w:rFonts w:ascii="Times New Roman" w:hAnsi="Times New Roman"/>
          <w:color w:val="000000"/>
          <w:sz w:val="24"/>
          <w:szCs w:val="24"/>
        </w:rPr>
        <w:t xml:space="preserve">фирми осомничени за вмешаност во незаконски постапки. Механизмите за замрзнување и </w:t>
      </w:r>
      <w:r>
        <w:rPr>
          <w:rFonts w:ascii="Times New Roman" w:hAnsi="Times New Roman"/>
          <w:color w:val="000000"/>
          <w:sz w:val="24"/>
          <w:szCs w:val="24"/>
        </w:rPr>
        <w:t xml:space="preserve">за </w:t>
      </w:r>
      <w:r w:rsidRPr="005147EE">
        <w:rPr>
          <w:rFonts w:ascii="Times New Roman" w:hAnsi="Times New Roman"/>
          <w:color w:val="000000"/>
          <w:sz w:val="24"/>
          <w:szCs w:val="24"/>
        </w:rPr>
        <w:t>конфискација се применуваат ограничено. За да се зголеми бројот на финансиски истраги, на обвинителството треба да му се доделат соодветни финансиски и човечки ресурси, релевантните институции да се координираат повеќе меѓу себе и да имаат подобар пристап до интегрираните бази на податоци.</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Државниот завод за ревизија спроведува екс-пост проверки и објавува годишни извештаи на својата веб-страница. Во ноември 2022 година Државниот завод за ревизија прати две барања до Јавното обвинителство за преземање </w:t>
      </w:r>
      <w:r>
        <w:rPr>
          <w:rFonts w:ascii="Times New Roman" w:hAnsi="Times New Roman"/>
          <w:color w:val="000000"/>
          <w:sz w:val="24"/>
          <w:szCs w:val="24"/>
        </w:rPr>
        <w:t>дејства</w:t>
      </w:r>
      <w:r w:rsidRPr="005147EE">
        <w:rPr>
          <w:rFonts w:ascii="Times New Roman" w:hAnsi="Times New Roman"/>
          <w:color w:val="000000"/>
          <w:sz w:val="24"/>
          <w:szCs w:val="24"/>
        </w:rPr>
        <w:t xml:space="preserve"> како одговор на наводните неправилности </w:t>
      </w:r>
      <w:r>
        <w:rPr>
          <w:rFonts w:ascii="Times New Roman" w:hAnsi="Times New Roman"/>
          <w:color w:val="000000"/>
          <w:sz w:val="24"/>
          <w:szCs w:val="24"/>
        </w:rPr>
        <w:t>што</w:t>
      </w:r>
      <w:r w:rsidRPr="005147EE">
        <w:rPr>
          <w:rFonts w:ascii="Times New Roman" w:hAnsi="Times New Roman"/>
          <w:color w:val="000000"/>
          <w:sz w:val="24"/>
          <w:szCs w:val="24"/>
        </w:rPr>
        <w:t xml:space="preserve"> беа откриени при ревизијата на двајца учесници во изборната кампања. По извршената ревизија на финансиските извештаи и </w:t>
      </w:r>
      <w:r>
        <w:rPr>
          <w:rFonts w:ascii="Times New Roman" w:hAnsi="Times New Roman"/>
          <w:color w:val="000000"/>
          <w:sz w:val="24"/>
          <w:szCs w:val="24"/>
        </w:rPr>
        <w:t xml:space="preserve">на </w:t>
      </w:r>
      <w:r w:rsidRPr="005147EE">
        <w:rPr>
          <w:rFonts w:ascii="Times New Roman" w:hAnsi="Times New Roman"/>
          <w:color w:val="000000"/>
          <w:sz w:val="24"/>
          <w:szCs w:val="24"/>
        </w:rPr>
        <w:t>сметките на политичките партии</w:t>
      </w:r>
      <w:r>
        <w:rPr>
          <w:rFonts w:ascii="Times New Roman" w:hAnsi="Times New Roman"/>
          <w:color w:val="000000"/>
          <w:sz w:val="24"/>
          <w:szCs w:val="24"/>
        </w:rPr>
        <w:t>,</w:t>
      </w:r>
      <w:r w:rsidRPr="005147EE">
        <w:rPr>
          <w:rFonts w:ascii="Times New Roman" w:hAnsi="Times New Roman"/>
          <w:color w:val="000000"/>
          <w:sz w:val="24"/>
          <w:szCs w:val="24"/>
        </w:rPr>
        <w:t xml:space="preserve"> не беа поднесени барања за постапување на </w:t>
      </w:r>
      <w:r>
        <w:rPr>
          <w:rFonts w:ascii="Times New Roman" w:hAnsi="Times New Roman"/>
          <w:color w:val="000000"/>
          <w:sz w:val="24"/>
          <w:szCs w:val="24"/>
        </w:rPr>
        <w:t>Ј</w:t>
      </w:r>
      <w:r w:rsidRPr="005147EE">
        <w:rPr>
          <w:rFonts w:ascii="Times New Roman" w:hAnsi="Times New Roman"/>
          <w:color w:val="000000"/>
          <w:sz w:val="24"/>
          <w:szCs w:val="24"/>
        </w:rPr>
        <w:t>авното обвинителство. Државниот завод за ревизија изготвува квалитетни ревизорски извештаи, во кои ги идентификува клучните наоди и дава соодветни препораки, по кои органите треба да постапуваат систематски.</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u w:val="single"/>
        </w:rPr>
        <w:t>Правна рамка</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Земјата е потписничка на сите меѓународни конвенции за борба против корупцијата, вклучително и </w:t>
      </w:r>
      <w:r>
        <w:rPr>
          <w:rFonts w:ascii="Times New Roman" w:hAnsi="Times New Roman"/>
          <w:color w:val="000000"/>
          <w:sz w:val="24"/>
          <w:szCs w:val="24"/>
        </w:rPr>
        <w:t xml:space="preserve">на </w:t>
      </w:r>
      <w:r w:rsidRPr="005147EE">
        <w:rPr>
          <w:rFonts w:ascii="Times New Roman" w:hAnsi="Times New Roman"/>
          <w:color w:val="000000"/>
          <w:sz w:val="24"/>
          <w:szCs w:val="24"/>
        </w:rPr>
        <w:t>Конвенцијата на Обединетите нации против корупција.</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Законот за </w:t>
      </w:r>
      <w:r w:rsidRPr="005147EE">
        <w:rPr>
          <w:rFonts w:ascii="Times New Roman" w:hAnsi="Times New Roman"/>
          <w:b/>
          <w:bCs/>
          <w:color w:val="000000"/>
          <w:sz w:val="24"/>
          <w:szCs w:val="24"/>
        </w:rPr>
        <w:t>финансирање на политичките партии</w:t>
      </w:r>
      <w:r w:rsidRPr="005147EE">
        <w:rPr>
          <w:rFonts w:ascii="Times New Roman" w:hAnsi="Times New Roman"/>
          <w:color w:val="000000"/>
          <w:sz w:val="24"/>
          <w:szCs w:val="24"/>
        </w:rPr>
        <w:t xml:space="preserve"> предвидува на кој начин може да се обезбедат финансии за политичките партии и со нив правилно да се управува. Изборниот законик ги утврдува правилата за финансирање на изборните кампањи. Законот за</w:t>
      </w:r>
      <w:r w:rsidRPr="005147EE">
        <w:rPr>
          <w:rFonts w:ascii="Times New Roman" w:hAnsi="Times New Roman"/>
          <w:b/>
          <w:bCs/>
          <w:color w:val="000000"/>
          <w:sz w:val="24"/>
          <w:szCs w:val="24"/>
        </w:rPr>
        <w:t xml:space="preserve"> слободен пристап до информации од јавен карактер</w:t>
      </w:r>
      <w:r w:rsidRPr="005147EE">
        <w:rPr>
          <w:rFonts w:ascii="Times New Roman" w:hAnsi="Times New Roman"/>
          <w:color w:val="000000"/>
          <w:sz w:val="24"/>
          <w:szCs w:val="24"/>
        </w:rPr>
        <w:t xml:space="preserve"> им овозможува на барателите да добијат информации за јавното финансирање на политичките партии. Законот за </w:t>
      </w:r>
      <w:r w:rsidRPr="005147EE">
        <w:rPr>
          <w:rFonts w:ascii="Times New Roman" w:hAnsi="Times New Roman"/>
          <w:b/>
          <w:bCs/>
          <w:color w:val="000000"/>
          <w:sz w:val="24"/>
          <w:szCs w:val="24"/>
        </w:rPr>
        <w:t>лобирање</w:t>
      </w:r>
      <w:r w:rsidRPr="005147EE">
        <w:rPr>
          <w:rFonts w:ascii="Times New Roman" w:hAnsi="Times New Roman"/>
          <w:color w:val="000000"/>
          <w:sz w:val="24"/>
          <w:szCs w:val="24"/>
        </w:rPr>
        <w:t xml:space="preserve"> влезе во сила во јуни 2022 година. Законот ја зголемува улогата на ДКСК, додавајќи ѝ надлежност за водење регистар на лобисти и </w:t>
      </w:r>
      <w:r>
        <w:rPr>
          <w:rFonts w:ascii="Times New Roman" w:hAnsi="Times New Roman"/>
          <w:color w:val="000000"/>
          <w:sz w:val="24"/>
          <w:szCs w:val="24"/>
        </w:rPr>
        <w:t>лобистички</w:t>
      </w:r>
      <w:r w:rsidRPr="005147EE">
        <w:rPr>
          <w:rFonts w:ascii="Times New Roman" w:hAnsi="Times New Roman"/>
          <w:color w:val="000000"/>
          <w:sz w:val="24"/>
          <w:szCs w:val="24"/>
        </w:rPr>
        <w:t xml:space="preserve"> организации. До денес нема регистрирани организации. Законот за заштита на </w:t>
      </w:r>
      <w:r w:rsidRPr="005147EE">
        <w:rPr>
          <w:rFonts w:ascii="Times New Roman" w:hAnsi="Times New Roman"/>
          <w:b/>
          <w:bCs/>
          <w:color w:val="000000"/>
          <w:sz w:val="24"/>
          <w:szCs w:val="24"/>
        </w:rPr>
        <w:t>укажувачите</w:t>
      </w:r>
      <w:r w:rsidRPr="005147EE">
        <w:rPr>
          <w:rFonts w:ascii="Times New Roman" w:hAnsi="Times New Roman"/>
          <w:color w:val="000000"/>
          <w:sz w:val="24"/>
          <w:szCs w:val="24"/>
        </w:rPr>
        <w:t xml:space="preserve"> </w:t>
      </w:r>
      <w:r>
        <w:rPr>
          <w:rFonts w:ascii="Times New Roman" w:hAnsi="Times New Roman"/>
          <w:color w:val="000000"/>
          <w:sz w:val="24"/>
          <w:szCs w:val="24"/>
        </w:rPr>
        <w:t>с</w:t>
      </w:r>
      <w:r w:rsidRPr="009768C4">
        <w:rPr>
          <w:rFonts w:ascii="Times New Roman" w:hAnsi="Times New Roman"/>
          <w:color w:val="000000"/>
          <w:sz w:val="24"/>
          <w:szCs w:val="24"/>
          <w:lang w:val="ru-RU"/>
        </w:rPr>
        <w:t>è</w:t>
      </w:r>
      <w:r w:rsidRPr="005147EE">
        <w:rPr>
          <w:rFonts w:ascii="Times New Roman" w:hAnsi="Times New Roman"/>
          <w:color w:val="000000"/>
          <w:sz w:val="24"/>
          <w:szCs w:val="24"/>
        </w:rPr>
        <w:t xml:space="preserve"> уште треба дополнително да се усогласи со </w:t>
      </w:r>
      <w:r w:rsidRPr="005147EE">
        <w:rPr>
          <w:rFonts w:ascii="Times New Roman" w:hAnsi="Times New Roman"/>
          <w:i/>
          <w:iCs/>
          <w:color w:val="000000"/>
          <w:sz w:val="24"/>
          <w:szCs w:val="24"/>
        </w:rPr>
        <w:t>правото</w:t>
      </w:r>
      <w:r w:rsidRPr="005147EE">
        <w:rPr>
          <w:rFonts w:ascii="Times New Roman" w:hAnsi="Times New Roman"/>
          <w:color w:val="000000"/>
          <w:sz w:val="24"/>
          <w:szCs w:val="24"/>
        </w:rPr>
        <w:t xml:space="preserve"> на ЕУ.</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Во септември 2023 година, Собранието ги </w:t>
      </w:r>
      <w:r>
        <w:rPr>
          <w:rFonts w:ascii="Times New Roman" w:hAnsi="Times New Roman"/>
          <w:color w:val="000000"/>
          <w:sz w:val="24"/>
          <w:szCs w:val="24"/>
        </w:rPr>
        <w:t>донесе</w:t>
      </w:r>
      <w:r w:rsidRPr="005147EE">
        <w:rPr>
          <w:rFonts w:ascii="Times New Roman" w:hAnsi="Times New Roman"/>
          <w:color w:val="000000"/>
          <w:sz w:val="24"/>
          <w:szCs w:val="24"/>
        </w:rPr>
        <w:t xml:space="preserve"> измените на Кривичниот законик во итна постапка, со што беа оневозможени сеопфатните консултации со домашните чинители и </w:t>
      </w:r>
      <w:r>
        <w:rPr>
          <w:rFonts w:ascii="Times New Roman" w:hAnsi="Times New Roman"/>
          <w:color w:val="000000"/>
          <w:sz w:val="24"/>
          <w:szCs w:val="24"/>
        </w:rPr>
        <w:t xml:space="preserve">со </w:t>
      </w:r>
      <w:r w:rsidRPr="005147EE">
        <w:rPr>
          <w:rFonts w:ascii="Times New Roman" w:hAnsi="Times New Roman"/>
          <w:color w:val="000000"/>
          <w:sz w:val="24"/>
          <w:szCs w:val="24"/>
        </w:rPr>
        <w:t xml:space="preserve">Европската комисија пред нивното </w:t>
      </w:r>
      <w:r>
        <w:rPr>
          <w:rFonts w:ascii="Times New Roman" w:hAnsi="Times New Roman"/>
          <w:color w:val="000000"/>
          <w:sz w:val="24"/>
          <w:szCs w:val="24"/>
        </w:rPr>
        <w:t>донесување</w:t>
      </w:r>
      <w:r w:rsidRPr="005147EE">
        <w:rPr>
          <w:rFonts w:ascii="Times New Roman" w:hAnsi="Times New Roman"/>
          <w:color w:val="000000"/>
          <w:sz w:val="24"/>
          <w:szCs w:val="24"/>
        </w:rPr>
        <w:t xml:space="preserve">. Иако одредени измени за зајакнување на мерките за конфискација може да се сметаат за ограничени подобрувања, тие треба да се поврзат со силни законски и процедурални заштитни мерки, како и функционални мерки за следење, замрзнување и управување за да има ефективен национален систем за поврат на имот. Други измени, во однос на конкретни кривични дела поврзани со корупција, се загрижувачки бидејќи ги намалуваат максималните законски казни, имаат последици врз застареноста и отстрануваат одредена категорија дела, особено злоупотребата на службената положба во јавните набавки. Дополнително, измените предизвикуваат сериозна загриженост бидејќи тие исто така влијаат </w:t>
      </w:r>
      <w:r>
        <w:rPr>
          <w:rFonts w:ascii="Times New Roman" w:hAnsi="Times New Roman"/>
          <w:color w:val="000000"/>
          <w:sz w:val="24"/>
          <w:szCs w:val="24"/>
        </w:rPr>
        <w:t>врз</w:t>
      </w:r>
      <w:r w:rsidRPr="005147EE">
        <w:rPr>
          <w:rFonts w:ascii="Times New Roman" w:hAnsi="Times New Roman"/>
          <w:color w:val="000000"/>
          <w:sz w:val="24"/>
          <w:szCs w:val="24"/>
        </w:rPr>
        <w:t xml:space="preserve"> применливите кривични постапки, ограничувајќи го опсегот на истрагите и на тој начин, попречувајќи ја способноста на органите ефективно да ги гонат случаите на корупција на високо ниво.</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i/>
          <w:iCs/>
          <w:color w:val="000000"/>
          <w:sz w:val="24"/>
          <w:szCs w:val="24"/>
        </w:rPr>
        <w:t>Стратешка рамка</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Спроведувањето на националната </w:t>
      </w:r>
      <w:r>
        <w:rPr>
          <w:rFonts w:ascii="Times New Roman" w:hAnsi="Times New Roman"/>
          <w:color w:val="000000"/>
          <w:sz w:val="24"/>
          <w:szCs w:val="24"/>
        </w:rPr>
        <w:t>С</w:t>
      </w:r>
      <w:r w:rsidRPr="005147EE">
        <w:rPr>
          <w:rFonts w:ascii="Times New Roman" w:hAnsi="Times New Roman"/>
          <w:color w:val="000000"/>
          <w:sz w:val="24"/>
          <w:szCs w:val="24"/>
        </w:rPr>
        <w:t xml:space="preserve">тратегија за спречување на корупцијата и </w:t>
      </w:r>
      <w:r>
        <w:rPr>
          <w:rFonts w:ascii="Times New Roman" w:hAnsi="Times New Roman"/>
          <w:color w:val="000000"/>
          <w:sz w:val="24"/>
          <w:szCs w:val="24"/>
        </w:rPr>
        <w:t>судирот</w:t>
      </w:r>
      <w:r w:rsidRPr="005147EE">
        <w:rPr>
          <w:rFonts w:ascii="Times New Roman" w:hAnsi="Times New Roman"/>
          <w:color w:val="000000"/>
          <w:sz w:val="24"/>
          <w:szCs w:val="24"/>
        </w:rPr>
        <w:t xml:space="preserve"> на интереси (2021-2025 година) и поврзаниот акциски план продолжува да се одвива многу бавно, што укажува на општ недостаток на посветеност и чувство на одговорност на засегнатите институции. Само 10</w:t>
      </w:r>
      <w:r>
        <w:rPr>
          <w:rFonts w:ascii="Times New Roman" w:hAnsi="Times New Roman"/>
          <w:color w:val="000000"/>
          <w:sz w:val="24"/>
          <w:szCs w:val="24"/>
        </w:rPr>
        <w:t xml:space="preserve"> </w:t>
      </w:r>
      <w:r w:rsidRPr="005147EE">
        <w:rPr>
          <w:rFonts w:ascii="Times New Roman" w:hAnsi="Times New Roman"/>
          <w:color w:val="000000"/>
          <w:sz w:val="24"/>
          <w:szCs w:val="24"/>
        </w:rPr>
        <w:t>% од активностите планирани за 2022 година се спроведени во целост, 35</w:t>
      </w:r>
      <w:r>
        <w:rPr>
          <w:rFonts w:ascii="Times New Roman" w:hAnsi="Times New Roman"/>
          <w:color w:val="000000"/>
          <w:sz w:val="24"/>
          <w:szCs w:val="24"/>
        </w:rPr>
        <w:t xml:space="preserve"> </w:t>
      </w:r>
      <w:r w:rsidRPr="005147EE">
        <w:rPr>
          <w:rFonts w:ascii="Times New Roman" w:hAnsi="Times New Roman"/>
          <w:color w:val="000000"/>
          <w:sz w:val="24"/>
          <w:szCs w:val="24"/>
        </w:rPr>
        <w:t>% се во тек, а 55</w:t>
      </w:r>
      <w:r>
        <w:rPr>
          <w:rFonts w:ascii="Times New Roman" w:hAnsi="Times New Roman"/>
          <w:color w:val="000000"/>
          <w:sz w:val="24"/>
          <w:szCs w:val="24"/>
        </w:rPr>
        <w:t xml:space="preserve"> </w:t>
      </w:r>
      <w:r w:rsidRPr="005147EE">
        <w:rPr>
          <w:rFonts w:ascii="Times New Roman" w:hAnsi="Times New Roman"/>
          <w:color w:val="000000"/>
          <w:sz w:val="24"/>
          <w:szCs w:val="24"/>
        </w:rPr>
        <w:t xml:space="preserve">% не се спроведени. </w:t>
      </w:r>
      <w:r w:rsidRPr="005147EE">
        <w:rPr>
          <w:rFonts w:ascii="Times New Roman" w:hAnsi="Times New Roman"/>
          <w:sz w:val="24"/>
          <w:szCs w:val="24"/>
        </w:rPr>
        <w:t>Ова е значително намалување во однос на претходната година кога 20</w:t>
      </w:r>
      <w:r>
        <w:rPr>
          <w:rFonts w:ascii="Times New Roman" w:hAnsi="Times New Roman"/>
          <w:sz w:val="24"/>
          <w:szCs w:val="24"/>
        </w:rPr>
        <w:t xml:space="preserve"> </w:t>
      </w:r>
      <w:r w:rsidRPr="005147EE">
        <w:rPr>
          <w:rFonts w:ascii="Times New Roman" w:hAnsi="Times New Roman"/>
          <w:sz w:val="24"/>
          <w:szCs w:val="24"/>
        </w:rPr>
        <w:t>% од активностите планирани за 2021 година беа спроведени во целост, 27</w:t>
      </w:r>
      <w:r>
        <w:rPr>
          <w:rFonts w:ascii="Times New Roman" w:hAnsi="Times New Roman"/>
          <w:sz w:val="24"/>
          <w:szCs w:val="24"/>
        </w:rPr>
        <w:t xml:space="preserve"> </w:t>
      </w:r>
      <w:r w:rsidRPr="005147EE">
        <w:rPr>
          <w:rFonts w:ascii="Times New Roman" w:hAnsi="Times New Roman"/>
          <w:sz w:val="24"/>
          <w:szCs w:val="24"/>
        </w:rPr>
        <w:t>% беа во тек, а 59</w:t>
      </w:r>
      <w:r>
        <w:rPr>
          <w:rFonts w:ascii="Times New Roman" w:hAnsi="Times New Roman"/>
          <w:sz w:val="24"/>
          <w:szCs w:val="24"/>
        </w:rPr>
        <w:t xml:space="preserve"> </w:t>
      </w:r>
      <w:r w:rsidRPr="005147EE">
        <w:rPr>
          <w:rFonts w:ascii="Times New Roman" w:hAnsi="Times New Roman"/>
          <w:sz w:val="24"/>
          <w:szCs w:val="24"/>
        </w:rPr>
        <w:t>% не беа спроведени.</w:t>
      </w:r>
      <w:r w:rsidRPr="005147EE">
        <w:rPr>
          <w:rFonts w:ascii="Times New Roman" w:hAnsi="Times New Roman"/>
          <w:color w:val="000000"/>
          <w:sz w:val="24"/>
          <w:szCs w:val="24"/>
        </w:rPr>
        <w:t xml:space="preserve"> Собранието допрва треба да расправа за извештајот за спроведување на стратегијата во 2021 година и за извештајот на ДКСК за локалните избори во 2021 година.</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b/>
          <w:bCs/>
          <w:color w:val="000000"/>
          <w:sz w:val="24"/>
          <w:szCs w:val="24"/>
        </w:rPr>
        <w:t>Фундаментални права</w:t>
      </w:r>
    </w:p>
    <w:p w:rsidR="009768C4" w:rsidRPr="005147EE"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Правната рамка за заштита на фундаменталните права е делумно усогласена со </w:t>
      </w:r>
      <w:r w:rsidRPr="005147EE">
        <w:rPr>
          <w:rFonts w:ascii="Times New Roman" w:hAnsi="Times New Roman"/>
          <w:i/>
          <w:iCs/>
          <w:color w:val="000000"/>
          <w:sz w:val="24"/>
          <w:szCs w:val="24"/>
        </w:rPr>
        <w:t xml:space="preserve">правото </w:t>
      </w:r>
      <w:r w:rsidRPr="00E256EB">
        <w:rPr>
          <w:rFonts w:ascii="Times New Roman" w:hAnsi="Times New Roman"/>
          <w:color w:val="000000"/>
          <w:sz w:val="24"/>
          <w:szCs w:val="24"/>
        </w:rPr>
        <w:t>на ЕУ</w:t>
      </w:r>
      <w:r w:rsidRPr="005147EE">
        <w:rPr>
          <w:rFonts w:ascii="Times New Roman" w:hAnsi="Times New Roman"/>
          <w:color w:val="000000"/>
          <w:sz w:val="24"/>
          <w:szCs w:val="24"/>
        </w:rPr>
        <w:t xml:space="preserve"> и </w:t>
      </w:r>
      <w:r>
        <w:rPr>
          <w:rFonts w:ascii="Times New Roman" w:hAnsi="Times New Roman"/>
          <w:color w:val="000000"/>
          <w:sz w:val="24"/>
          <w:szCs w:val="24"/>
        </w:rPr>
        <w:t xml:space="preserve">со </w:t>
      </w:r>
      <w:r w:rsidRPr="005147EE">
        <w:rPr>
          <w:rFonts w:ascii="Times New Roman" w:hAnsi="Times New Roman"/>
          <w:color w:val="000000"/>
          <w:sz w:val="24"/>
          <w:szCs w:val="24"/>
        </w:rPr>
        <w:t xml:space="preserve">европските стандарди за фундаменталните права. Земјата продолжува да ги исполнува своите општи обврски во однос на фундаменталните права, но законодавството треба да се спроведува на систематски начин. Беа донесени значајни измени на Кривичниот законик, со кои се уредуваат кривични дела на родово базирано насилство. Собранието треба да изврши именувања во независните и регулаторните тела врз основа на заслуги. Функционалната независност на телата за човекови права мора да е загарантирана во секое време. Меѓу другото, тоа значи и доделување доволно финансиски средства. </w:t>
      </w:r>
      <w:r>
        <w:rPr>
          <w:rFonts w:ascii="Times New Roman" w:hAnsi="Times New Roman"/>
          <w:color w:val="000000"/>
          <w:sz w:val="24"/>
          <w:szCs w:val="24"/>
        </w:rPr>
        <w:t>С</w:t>
      </w:r>
      <w:r w:rsidRPr="009768C4">
        <w:rPr>
          <w:rFonts w:ascii="Times New Roman" w:hAnsi="Times New Roman"/>
          <w:color w:val="000000"/>
          <w:sz w:val="24"/>
          <w:szCs w:val="24"/>
          <w:lang w:val="ru-RU"/>
        </w:rPr>
        <w:t>è</w:t>
      </w:r>
      <w:r w:rsidRPr="005147EE">
        <w:rPr>
          <w:rFonts w:ascii="Times New Roman" w:hAnsi="Times New Roman"/>
          <w:color w:val="000000"/>
          <w:sz w:val="24"/>
          <w:szCs w:val="24"/>
        </w:rPr>
        <w:t xml:space="preserve"> уште постои потреба за зајакнување и соодветно финансирање на службите за жртви на родово базирано насилство за да се исполнат стандардите утврдени со Истанбулската конвенција. Лицата со попреченост и понатаму се соочуваат со директна и </w:t>
      </w:r>
      <w:r>
        <w:rPr>
          <w:rFonts w:ascii="Times New Roman" w:hAnsi="Times New Roman"/>
          <w:color w:val="000000"/>
          <w:sz w:val="24"/>
          <w:szCs w:val="24"/>
        </w:rPr>
        <w:t xml:space="preserve">со </w:t>
      </w:r>
      <w:r w:rsidRPr="005147EE">
        <w:rPr>
          <w:rFonts w:ascii="Times New Roman" w:hAnsi="Times New Roman"/>
          <w:color w:val="000000"/>
          <w:sz w:val="24"/>
          <w:szCs w:val="24"/>
        </w:rPr>
        <w:t xml:space="preserve">индиректна дискриминација, социјална исклученост и пречки. Канцеларијата на Народниот правобранител и Комисијата за спречување и заштита од дискриминација потпишаа меморандум за разбирање за официјализирање на нивната координација. Ситуацијата во затворите останува катастрофална. </w:t>
      </w:r>
      <w:r>
        <w:rPr>
          <w:rFonts w:ascii="Times New Roman" w:hAnsi="Times New Roman"/>
          <w:color w:val="000000"/>
          <w:sz w:val="24"/>
          <w:szCs w:val="24"/>
        </w:rPr>
        <w:t>Н</w:t>
      </w:r>
      <w:r w:rsidRPr="005147EE">
        <w:rPr>
          <w:rFonts w:ascii="Times New Roman" w:hAnsi="Times New Roman"/>
          <w:color w:val="000000"/>
          <w:sz w:val="24"/>
          <w:szCs w:val="24"/>
        </w:rPr>
        <w:t xml:space="preserve">е беа спроведени </w:t>
      </w:r>
      <w:r>
        <w:rPr>
          <w:rFonts w:ascii="Times New Roman" w:hAnsi="Times New Roman"/>
          <w:color w:val="000000"/>
          <w:sz w:val="24"/>
          <w:szCs w:val="24"/>
        </w:rPr>
        <w:t>п</w:t>
      </w:r>
      <w:r w:rsidRPr="005147EE">
        <w:rPr>
          <w:rFonts w:ascii="Times New Roman" w:hAnsi="Times New Roman"/>
          <w:color w:val="000000"/>
          <w:sz w:val="24"/>
          <w:szCs w:val="24"/>
        </w:rPr>
        <w:t xml:space="preserve">репораките од Европскиот комитет за спречување тортура за третманот на лица лишени од слобода и </w:t>
      </w:r>
      <w:r>
        <w:rPr>
          <w:rFonts w:ascii="Times New Roman" w:hAnsi="Times New Roman"/>
          <w:color w:val="000000"/>
          <w:sz w:val="24"/>
          <w:szCs w:val="24"/>
        </w:rPr>
        <w:t xml:space="preserve">на </w:t>
      </w:r>
      <w:r w:rsidRPr="005147EE">
        <w:rPr>
          <w:rFonts w:ascii="Times New Roman" w:hAnsi="Times New Roman"/>
          <w:color w:val="000000"/>
          <w:sz w:val="24"/>
          <w:szCs w:val="24"/>
        </w:rPr>
        <w:t xml:space="preserve">осудени лица, што предизвикува сериозна загриженост. Условите за притвор треба </w:t>
      </w:r>
      <w:r>
        <w:rPr>
          <w:rFonts w:ascii="Times New Roman" w:hAnsi="Times New Roman"/>
          <w:color w:val="000000"/>
          <w:sz w:val="24"/>
          <w:szCs w:val="24"/>
        </w:rPr>
        <w:t>најитно</w:t>
      </w:r>
      <w:r w:rsidRPr="005147EE">
        <w:rPr>
          <w:rFonts w:ascii="Times New Roman" w:hAnsi="Times New Roman"/>
          <w:color w:val="000000"/>
          <w:sz w:val="24"/>
          <w:szCs w:val="24"/>
        </w:rPr>
        <w:t xml:space="preserve"> да се подобрат. Посебно внимание треба да се посвети на унапредување на недискриминација</w:t>
      </w:r>
      <w:r>
        <w:rPr>
          <w:rFonts w:ascii="Times New Roman" w:hAnsi="Times New Roman"/>
          <w:color w:val="000000"/>
          <w:sz w:val="24"/>
          <w:szCs w:val="24"/>
        </w:rPr>
        <w:t>та</w:t>
      </w:r>
      <w:r w:rsidRPr="005147EE">
        <w:rPr>
          <w:rFonts w:ascii="Times New Roman" w:hAnsi="Times New Roman"/>
          <w:color w:val="000000"/>
          <w:sz w:val="24"/>
          <w:szCs w:val="24"/>
        </w:rPr>
        <w:t xml:space="preserve">, зголемување на ефективноста во справувањето со злосторствата од омраза и говорот на омраза, зајакнување на капацитетот и </w:t>
      </w:r>
      <w:r>
        <w:rPr>
          <w:rFonts w:ascii="Times New Roman" w:hAnsi="Times New Roman"/>
          <w:color w:val="000000"/>
          <w:sz w:val="24"/>
          <w:szCs w:val="24"/>
        </w:rPr>
        <w:t xml:space="preserve">на </w:t>
      </w:r>
      <w:r w:rsidRPr="005147EE">
        <w:rPr>
          <w:rFonts w:ascii="Times New Roman" w:hAnsi="Times New Roman"/>
          <w:color w:val="000000"/>
          <w:sz w:val="24"/>
          <w:szCs w:val="24"/>
        </w:rPr>
        <w:t xml:space="preserve">независноста на институциите задолжени за заштита на правата на лицата </w:t>
      </w:r>
      <w:r>
        <w:rPr>
          <w:rFonts w:ascii="Times New Roman" w:hAnsi="Times New Roman"/>
          <w:color w:val="000000"/>
          <w:sz w:val="24"/>
          <w:szCs w:val="24"/>
        </w:rPr>
        <w:t>што</w:t>
      </w:r>
      <w:r w:rsidRPr="005147EE">
        <w:rPr>
          <w:rFonts w:ascii="Times New Roman" w:hAnsi="Times New Roman"/>
          <w:color w:val="000000"/>
          <w:sz w:val="24"/>
          <w:szCs w:val="24"/>
        </w:rPr>
        <w:t xml:space="preserve"> припаѓаат на малцинствата или</w:t>
      </w:r>
      <w:r>
        <w:rPr>
          <w:rFonts w:ascii="Times New Roman" w:hAnsi="Times New Roman"/>
          <w:color w:val="000000"/>
          <w:sz w:val="24"/>
          <w:szCs w:val="24"/>
        </w:rPr>
        <w:t xml:space="preserve"> на</w:t>
      </w:r>
      <w:r w:rsidRPr="005147EE">
        <w:rPr>
          <w:rFonts w:ascii="Times New Roman" w:hAnsi="Times New Roman"/>
          <w:color w:val="000000"/>
          <w:sz w:val="24"/>
          <w:szCs w:val="24"/>
        </w:rPr>
        <w:t xml:space="preserve"> заедниците. Агенцијата за остварување на правата на заедниците</w:t>
      </w:r>
      <w:r>
        <w:rPr>
          <w:rFonts w:ascii="Times New Roman" w:hAnsi="Times New Roman"/>
          <w:color w:val="000000"/>
          <w:sz w:val="24"/>
          <w:szCs w:val="24"/>
        </w:rPr>
        <w:t>,</w:t>
      </w:r>
      <w:r w:rsidRPr="005147EE">
        <w:rPr>
          <w:rFonts w:ascii="Times New Roman" w:hAnsi="Times New Roman"/>
          <w:color w:val="000000"/>
          <w:sz w:val="24"/>
          <w:szCs w:val="24"/>
        </w:rPr>
        <w:t xml:space="preserve"> треба да добие доволно средства за понатамошно унапредување на заштитата на малцинствата и спроведување на националната стратегија „Едно општество за сите и интеркултурализам“. Механизмот за надворешен надзор врз полицијата, вклучително и </w:t>
      </w:r>
      <w:r>
        <w:rPr>
          <w:rFonts w:ascii="Times New Roman" w:hAnsi="Times New Roman"/>
          <w:color w:val="000000"/>
          <w:sz w:val="24"/>
          <w:szCs w:val="24"/>
        </w:rPr>
        <w:t xml:space="preserve">врз </w:t>
      </w:r>
      <w:r w:rsidRPr="005147EE">
        <w:rPr>
          <w:rFonts w:ascii="Times New Roman" w:hAnsi="Times New Roman"/>
          <w:color w:val="000000"/>
          <w:sz w:val="24"/>
          <w:szCs w:val="24"/>
        </w:rPr>
        <w:t xml:space="preserve">затворската полиција, </w:t>
      </w:r>
      <w:r>
        <w:rPr>
          <w:rFonts w:ascii="Times New Roman" w:hAnsi="Times New Roman"/>
          <w:color w:val="000000"/>
          <w:sz w:val="24"/>
          <w:szCs w:val="24"/>
        </w:rPr>
        <w:t>с</w:t>
      </w:r>
      <w:r w:rsidRPr="009768C4">
        <w:rPr>
          <w:rFonts w:ascii="Times New Roman" w:hAnsi="Times New Roman"/>
          <w:color w:val="000000"/>
          <w:sz w:val="24"/>
          <w:szCs w:val="24"/>
          <w:lang w:val="ru-RU"/>
        </w:rPr>
        <w:t>è</w:t>
      </w:r>
      <w:r w:rsidRPr="005147EE">
        <w:rPr>
          <w:rFonts w:ascii="Times New Roman" w:hAnsi="Times New Roman"/>
          <w:color w:val="000000"/>
          <w:sz w:val="24"/>
          <w:szCs w:val="24"/>
        </w:rPr>
        <w:t xml:space="preserve"> уште не е целосно функционален, при што Собранието допрва треба да ги избере тројцата претставници на ГО. Донесените измени на Законот за матичната евиденција го отвораат патот кон решавање на случаите на бездржавјанство и исполнување на меѓународните обврски на земјата.</w:t>
      </w:r>
    </w:p>
    <w:p w:rsidR="009768C4" w:rsidRPr="005147EE"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Препораките од претходната година беа само делумно спроведени, па остануваат во важност. Во текот на наредната година, земјата особено треба:</w:t>
      </w:r>
    </w:p>
    <w:p w:rsidR="009768C4" w:rsidRPr="005147EE"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w:t>
      </w:r>
      <w:r w:rsidRPr="005147EE">
        <w:rPr>
          <w:rFonts w:ascii="Times New Roman" w:hAnsi="Times New Roman"/>
          <w:color w:val="000000"/>
          <w:sz w:val="24"/>
          <w:szCs w:val="24"/>
        </w:rPr>
        <w:tab/>
        <w:t xml:space="preserve">да ги поправи катастрофалните услови во затворите и да ги засили напорите за промоција на алтернативи на затворањето и да ги спроведе релевантните препораки од националните и </w:t>
      </w:r>
      <w:r>
        <w:rPr>
          <w:rFonts w:ascii="Times New Roman" w:hAnsi="Times New Roman"/>
          <w:color w:val="000000"/>
          <w:sz w:val="24"/>
          <w:szCs w:val="24"/>
        </w:rPr>
        <w:t xml:space="preserve">од </w:t>
      </w:r>
      <w:r w:rsidRPr="005147EE">
        <w:rPr>
          <w:rFonts w:ascii="Times New Roman" w:hAnsi="Times New Roman"/>
          <w:color w:val="000000"/>
          <w:sz w:val="24"/>
          <w:szCs w:val="24"/>
        </w:rPr>
        <w:t>меѓународните институции</w:t>
      </w:r>
      <w:r>
        <w:rPr>
          <w:rFonts w:ascii="Times New Roman" w:hAnsi="Times New Roman"/>
          <w:color w:val="000000"/>
          <w:sz w:val="24"/>
          <w:szCs w:val="24"/>
        </w:rPr>
        <w:t xml:space="preserve"> </w:t>
      </w:r>
      <w:r w:rsidRPr="005147EE">
        <w:rPr>
          <w:rFonts w:ascii="Times New Roman" w:hAnsi="Times New Roman"/>
          <w:color w:val="000000"/>
          <w:sz w:val="24"/>
          <w:szCs w:val="24"/>
        </w:rPr>
        <w:t>за условите за притвор;</w:t>
      </w:r>
    </w:p>
    <w:p w:rsidR="009768C4" w:rsidRPr="005147EE"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 </w:t>
      </w:r>
      <w:r w:rsidRPr="005147EE">
        <w:rPr>
          <w:rFonts w:ascii="Times New Roman" w:hAnsi="Times New Roman"/>
          <w:color w:val="000000"/>
          <w:sz w:val="24"/>
          <w:szCs w:val="24"/>
        </w:rPr>
        <w:tab/>
        <w:t xml:space="preserve">да </w:t>
      </w:r>
      <w:r>
        <w:rPr>
          <w:rFonts w:ascii="Times New Roman" w:hAnsi="Times New Roman"/>
          <w:color w:val="000000"/>
          <w:sz w:val="24"/>
          <w:szCs w:val="24"/>
        </w:rPr>
        <w:t xml:space="preserve">ѝ </w:t>
      </w:r>
      <w:r w:rsidRPr="005147EE">
        <w:rPr>
          <w:rFonts w:ascii="Times New Roman" w:hAnsi="Times New Roman"/>
          <w:color w:val="000000"/>
          <w:sz w:val="24"/>
          <w:szCs w:val="24"/>
        </w:rPr>
        <w:t xml:space="preserve">ги додели неопходните ресурси на Комисијата за спречување и заштита од дискриминација што ќе </w:t>
      </w:r>
      <w:r>
        <w:rPr>
          <w:rFonts w:ascii="Times New Roman" w:hAnsi="Times New Roman"/>
          <w:color w:val="000000"/>
          <w:sz w:val="24"/>
          <w:szCs w:val="24"/>
        </w:rPr>
        <w:t>ѝ</w:t>
      </w:r>
      <w:r w:rsidRPr="005147EE">
        <w:rPr>
          <w:rFonts w:ascii="Times New Roman" w:hAnsi="Times New Roman"/>
          <w:color w:val="000000"/>
          <w:sz w:val="24"/>
          <w:szCs w:val="24"/>
        </w:rPr>
        <w:t xml:space="preserve"> овозможи да го исполни својот мандат;</w:t>
      </w:r>
    </w:p>
    <w:p w:rsidR="009768C4" w:rsidRPr="005147EE"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w:t>
      </w:r>
      <w:r w:rsidRPr="005147EE">
        <w:rPr>
          <w:rFonts w:ascii="Times New Roman" w:hAnsi="Times New Roman"/>
          <w:color w:val="000000"/>
          <w:sz w:val="24"/>
          <w:szCs w:val="24"/>
        </w:rPr>
        <w:tab/>
        <w:t xml:space="preserve"> да обезбеди соодветно спроведување на Законот за матична евиденција</w:t>
      </w:r>
      <w:r>
        <w:rPr>
          <w:rFonts w:ascii="Times New Roman" w:hAnsi="Times New Roman"/>
          <w:color w:val="000000"/>
          <w:sz w:val="24"/>
          <w:szCs w:val="24"/>
        </w:rPr>
        <w:t>,</w:t>
      </w:r>
      <w:r w:rsidRPr="005147EE">
        <w:rPr>
          <w:rFonts w:ascii="Times New Roman" w:hAnsi="Times New Roman"/>
          <w:color w:val="000000"/>
          <w:sz w:val="24"/>
          <w:szCs w:val="24"/>
        </w:rPr>
        <w:t xml:space="preserve"> со цел да се стави крај на бездржавјанството.</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Северна Македонија ги има ратификувано </w:t>
      </w:r>
      <w:r w:rsidRPr="005147EE">
        <w:rPr>
          <w:rFonts w:ascii="Times New Roman" w:hAnsi="Times New Roman"/>
          <w:b/>
          <w:bCs/>
          <w:color w:val="000000"/>
          <w:sz w:val="24"/>
          <w:szCs w:val="24"/>
        </w:rPr>
        <w:t>повеќето меѓународни инструменти за човекови права</w:t>
      </w:r>
      <w:r w:rsidRPr="005147EE">
        <w:rPr>
          <w:rFonts w:ascii="Times New Roman" w:hAnsi="Times New Roman"/>
          <w:color w:val="000000"/>
          <w:sz w:val="24"/>
          <w:szCs w:val="24"/>
        </w:rPr>
        <w:t xml:space="preserve">. На 20 март 2023 година, Собранието го ратификуваше Протоколот бр. 16 кон Европската конвенција за заштита на човековите права и </w:t>
      </w:r>
      <w:r w:rsidR="00794C13" w:rsidRPr="00794C13">
        <w:rPr>
          <w:rFonts w:ascii="Times New Roman" w:hAnsi="Times New Roman"/>
          <w:color w:val="000000"/>
          <w:sz w:val="24"/>
          <w:szCs w:val="24"/>
        </w:rPr>
        <w:t>фундаментални</w:t>
      </w:r>
      <w:r w:rsidR="00794C13">
        <w:rPr>
          <w:rFonts w:ascii="Times New Roman" w:hAnsi="Times New Roman"/>
          <w:color w:val="000000"/>
          <w:sz w:val="24"/>
          <w:szCs w:val="24"/>
        </w:rPr>
        <w:t>те</w:t>
      </w:r>
      <w:r w:rsidRPr="005147EE">
        <w:rPr>
          <w:rFonts w:ascii="Times New Roman" w:hAnsi="Times New Roman"/>
          <w:color w:val="000000"/>
          <w:sz w:val="24"/>
          <w:szCs w:val="24"/>
        </w:rPr>
        <w:t xml:space="preserve"> слободи, со кој им се дозволува на највисоките судови да побараат од Европскиот суд за човекови права (ЕСЧП) да даде советодавни мислења за начелните прашања во врска со толкувањето или </w:t>
      </w:r>
      <w:r>
        <w:rPr>
          <w:rFonts w:ascii="Times New Roman" w:hAnsi="Times New Roman"/>
          <w:color w:val="000000"/>
          <w:sz w:val="24"/>
          <w:szCs w:val="24"/>
        </w:rPr>
        <w:t xml:space="preserve">со </w:t>
      </w:r>
      <w:r w:rsidRPr="005147EE">
        <w:rPr>
          <w:rFonts w:ascii="Times New Roman" w:hAnsi="Times New Roman"/>
          <w:color w:val="000000"/>
          <w:sz w:val="24"/>
          <w:szCs w:val="24"/>
        </w:rPr>
        <w:t>примената на правата и</w:t>
      </w:r>
      <w:r>
        <w:rPr>
          <w:rFonts w:ascii="Times New Roman" w:hAnsi="Times New Roman"/>
          <w:color w:val="000000"/>
          <w:sz w:val="24"/>
          <w:szCs w:val="24"/>
        </w:rPr>
        <w:t xml:space="preserve"> на</w:t>
      </w:r>
      <w:r w:rsidRPr="005147EE">
        <w:rPr>
          <w:rFonts w:ascii="Times New Roman" w:hAnsi="Times New Roman"/>
          <w:color w:val="000000"/>
          <w:sz w:val="24"/>
          <w:szCs w:val="24"/>
        </w:rPr>
        <w:t xml:space="preserve"> слободите утврдени со Конвенцијата.</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Во јуни 2023 година пред </w:t>
      </w:r>
      <w:r w:rsidRPr="005147EE">
        <w:rPr>
          <w:rFonts w:ascii="Times New Roman" w:hAnsi="Times New Roman"/>
          <w:b/>
          <w:bCs/>
          <w:color w:val="000000"/>
          <w:sz w:val="24"/>
          <w:szCs w:val="24"/>
        </w:rPr>
        <w:t>ЕСЧП</w:t>
      </w:r>
      <w:r w:rsidRPr="005147EE">
        <w:rPr>
          <w:rFonts w:ascii="Times New Roman" w:hAnsi="Times New Roman"/>
          <w:color w:val="000000"/>
          <w:sz w:val="24"/>
          <w:szCs w:val="24"/>
        </w:rPr>
        <w:t xml:space="preserve"> имало 368 нерешени жалби, при што беа донесени пресуди по осум жалби и беа утврдени прекршувања на Европската конвенција за човекови права во шест од седум случаи (наспроти три во 2022 година). </w:t>
      </w:r>
      <w:r w:rsidRPr="005147EE">
        <w:rPr>
          <w:rFonts w:ascii="Times New Roman" w:hAnsi="Times New Roman"/>
          <w:sz w:val="24"/>
          <w:szCs w:val="24"/>
        </w:rPr>
        <w:t>Повеќето од нив се однесуваа на правото на правично судење, правото на слобода и сигурност и заштита на сопственоста.</w:t>
      </w:r>
      <w:r w:rsidRPr="005147EE">
        <w:rPr>
          <w:rFonts w:ascii="Times New Roman" w:hAnsi="Times New Roman"/>
          <w:color w:val="000000"/>
          <w:sz w:val="24"/>
          <w:szCs w:val="24"/>
        </w:rPr>
        <w:t xml:space="preserve"> Во извештајниот период имаше 354 нови барања распределени на тело надлежно за одлучување. Во моментот има осум случаи под засилен надзор од Комитетот на министри.</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За да може Северна Македонија целосно да го ползува статусот на набљудувач во Агенцијата за фундаментални права на Европската Унија (ФРА), таа треба да развие сеопфатен систем за следење и собирање податоци, со цел да се оцени нивото на спроведување на законодавството, </w:t>
      </w:r>
      <w:r>
        <w:rPr>
          <w:rFonts w:ascii="Times New Roman" w:hAnsi="Times New Roman"/>
          <w:color w:val="000000"/>
          <w:sz w:val="24"/>
          <w:szCs w:val="24"/>
        </w:rPr>
        <w:t xml:space="preserve">на </w:t>
      </w:r>
      <w:r w:rsidRPr="005147EE">
        <w:rPr>
          <w:rFonts w:ascii="Times New Roman" w:hAnsi="Times New Roman"/>
          <w:color w:val="000000"/>
          <w:sz w:val="24"/>
          <w:szCs w:val="24"/>
        </w:rPr>
        <w:t xml:space="preserve">политиките и </w:t>
      </w:r>
      <w:r>
        <w:rPr>
          <w:rFonts w:ascii="Times New Roman" w:hAnsi="Times New Roman"/>
          <w:color w:val="000000"/>
          <w:sz w:val="24"/>
          <w:szCs w:val="24"/>
        </w:rPr>
        <w:t xml:space="preserve">на </w:t>
      </w:r>
      <w:r w:rsidRPr="005147EE">
        <w:rPr>
          <w:rFonts w:ascii="Times New Roman" w:hAnsi="Times New Roman"/>
          <w:color w:val="000000"/>
          <w:sz w:val="24"/>
          <w:szCs w:val="24"/>
        </w:rPr>
        <w:t xml:space="preserve">стратегиите за човекови права. Канцеларијата на Народниот правобранител останува централно тело за </w:t>
      </w:r>
      <w:r w:rsidRPr="005147EE">
        <w:rPr>
          <w:rFonts w:ascii="Times New Roman" w:hAnsi="Times New Roman"/>
          <w:b/>
          <w:bCs/>
          <w:color w:val="000000"/>
          <w:sz w:val="24"/>
          <w:szCs w:val="24"/>
        </w:rPr>
        <w:t>унапредување и спроведување на човековите права</w:t>
      </w:r>
      <w:r w:rsidRPr="005147EE">
        <w:rPr>
          <w:rFonts w:ascii="Times New Roman" w:hAnsi="Times New Roman"/>
          <w:color w:val="000000"/>
          <w:sz w:val="24"/>
          <w:szCs w:val="24"/>
        </w:rPr>
        <w:t xml:space="preserve">. По долготрајното одложување на назначувањето пет заменици на Народниот правобранител од страна на Собранието, Народниот правобранител ги повлече предложените имиња и беше објавен нов оглас во мај 2023 година. Канцеларијата ја зајакна својата соработка со ГО, вклучително и организациите </w:t>
      </w:r>
      <w:r>
        <w:rPr>
          <w:rFonts w:ascii="Times New Roman" w:hAnsi="Times New Roman"/>
          <w:color w:val="000000"/>
          <w:sz w:val="24"/>
          <w:szCs w:val="24"/>
        </w:rPr>
        <w:t>што</w:t>
      </w:r>
      <w:r w:rsidRPr="005147EE">
        <w:rPr>
          <w:rFonts w:ascii="Times New Roman" w:hAnsi="Times New Roman"/>
          <w:color w:val="000000"/>
          <w:sz w:val="24"/>
          <w:szCs w:val="24"/>
        </w:rPr>
        <w:t xml:space="preserve"> работат на заштита на правата на детето. Нејзиниот буџет се зголеми за 0,9</w:t>
      </w:r>
      <w:r>
        <w:rPr>
          <w:rFonts w:ascii="Times New Roman" w:hAnsi="Times New Roman"/>
          <w:color w:val="000000"/>
          <w:sz w:val="24"/>
          <w:szCs w:val="24"/>
        </w:rPr>
        <w:t xml:space="preserve"> </w:t>
      </w:r>
      <w:r w:rsidRPr="005147EE">
        <w:rPr>
          <w:rFonts w:ascii="Times New Roman" w:hAnsi="Times New Roman"/>
          <w:color w:val="000000"/>
          <w:sz w:val="24"/>
          <w:szCs w:val="24"/>
        </w:rPr>
        <w:t>% во однос на 2022 година. Немаше нови вработувања. Во 2022 година, Канцеларијата постапила по 3</w:t>
      </w:r>
      <w:r>
        <w:rPr>
          <w:rFonts w:ascii="Times New Roman" w:hAnsi="Times New Roman"/>
          <w:color w:val="000000"/>
          <w:sz w:val="24"/>
          <w:szCs w:val="24"/>
        </w:rPr>
        <w:t>.</w:t>
      </w:r>
      <w:r w:rsidRPr="005147EE">
        <w:rPr>
          <w:rFonts w:ascii="Times New Roman" w:hAnsi="Times New Roman"/>
          <w:color w:val="000000"/>
          <w:sz w:val="24"/>
          <w:szCs w:val="24"/>
        </w:rPr>
        <w:t>482 претставки од кои 3</w:t>
      </w:r>
      <w:r>
        <w:rPr>
          <w:rFonts w:ascii="Times New Roman" w:hAnsi="Times New Roman"/>
          <w:color w:val="000000"/>
          <w:sz w:val="24"/>
          <w:szCs w:val="24"/>
        </w:rPr>
        <w:t>.</w:t>
      </w:r>
      <w:r w:rsidRPr="005147EE">
        <w:rPr>
          <w:rFonts w:ascii="Times New Roman" w:hAnsi="Times New Roman"/>
          <w:color w:val="000000"/>
          <w:sz w:val="24"/>
          <w:szCs w:val="24"/>
        </w:rPr>
        <w:t>209 биле примени во 2022 година, а 273 биле префрлени од претходната година. Врз основа на претставките, Канцеларијата поведе 2</w:t>
      </w:r>
      <w:r>
        <w:rPr>
          <w:rFonts w:ascii="Times New Roman" w:hAnsi="Times New Roman"/>
          <w:color w:val="000000"/>
          <w:sz w:val="24"/>
          <w:szCs w:val="24"/>
        </w:rPr>
        <w:t>.</w:t>
      </w:r>
      <w:r w:rsidRPr="005147EE">
        <w:rPr>
          <w:rFonts w:ascii="Times New Roman" w:hAnsi="Times New Roman"/>
          <w:color w:val="000000"/>
          <w:sz w:val="24"/>
          <w:szCs w:val="24"/>
        </w:rPr>
        <w:t>173 постапки. Утврдени се прекршувања во 683 случаи (31,43</w:t>
      </w:r>
      <w:r>
        <w:rPr>
          <w:rFonts w:ascii="Times New Roman" w:hAnsi="Times New Roman"/>
          <w:color w:val="000000"/>
          <w:sz w:val="24"/>
          <w:szCs w:val="24"/>
        </w:rPr>
        <w:t xml:space="preserve"> </w:t>
      </w:r>
      <w:r w:rsidRPr="005147EE">
        <w:rPr>
          <w:rFonts w:ascii="Times New Roman" w:hAnsi="Times New Roman"/>
          <w:color w:val="000000"/>
          <w:sz w:val="24"/>
          <w:szCs w:val="24"/>
        </w:rPr>
        <w:t>% од сите случаи). Меѓу другите активности на Канцеларијата, таа упати 120 случаи на повисоки инстанции (17,57</w:t>
      </w:r>
      <w:r>
        <w:rPr>
          <w:rFonts w:ascii="Times New Roman" w:hAnsi="Times New Roman"/>
          <w:color w:val="000000"/>
          <w:sz w:val="24"/>
          <w:szCs w:val="24"/>
        </w:rPr>
        <w:t xml:space="preserve"> </w:t>
      </w:r>
      <w:r w:rsidRPr="005147EE">
        <w:rPr>
          <w:rFonts w:ascii="Times New Roman" w:hAnsi="Times New Roman"/>
          <w:color w:val="000000"/>
          <w:sz w:val="24"/>
          <w:szCs w:val="24"/>
        </w:rPr>
        <w:t xml:space="preserve">% од вкупниот број) и </w:t>
      </w:r>
      <w:r>
        <w:rPr>
          <w:rFonts w:ascii="Times New Roman" w:hAnsi="Times New Roman"/>
          <w:color w:val="000000"/>
          <w:sz w:val="24"/>
          <w:szCs w:val="24"/>
        </w:rPr>
        <w:t>с</w:t>
      </w:r>
      <w:r w:rsidRPr="009768C4">
        <w:rPr>
          <w:rFonts w:ascii="Times New Roman" w:hAnsi="Times New Roman"/>
          <w:color w:val="000000"/>
          <w:sz w:val="24"/>
          <w:szCs w:val="24"/>
          <w:lang w:val="ru-RU"/>
        </w:rPr>
        <w:t>è</w:t>
      </w:r>
      <w:r w:rsidRPr="005147EE">
        <w:rPr>
          <w:rFonts w:ascii="Times New Roman" w:hAnsi="Times New Roman"/>
          <w:color w:val="000000"/>
          <w:sz w:val="24"/>
          <w:szCs w:val="24"/>
        </w:rPr>
        <w:t xml:space="preserve"> уште чека одговор во 57 случаи (8,35</w:t>
      </w:r>
      <w:r>
        <w:rPr>
          <w:rFonts w:ascii="Times New Roman" w:hAnsi="Times New Roman"/>
          <w:color w:val="000000"/>
          <w:sz w:val="24"/>
          <w:szCs w:val="24"/>
        </w:rPr>
        <w:t xml:space="preserve"> </w:t>
      </w:r>
      <w:r w:rsidRPr="005147EE">
        <w:rPr>
          <w:rFonts w:ascii="Times New Roman" w:hAnsi="Times New Roman"/>
          <w:color w:val="000000"/>
          <w:sz w:val="24"/>
          <w:szCs w:val="24"/>
        </w:rPr>
        <w:t>% од вкупниот број).</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Во однос на </w:t>
      </w:r>
      <w:r w:rsidRPr="005147EE">
        <w:rPr>
          <w:rFonts w:ascii="Times New Roman" w:hAnsi="Times New Roman"/>
          <w:b/>
          <w:bCs/>
          <w:color w:val="000000"/>
          <w:sz w:val="24"/>
          <w:szCs w:val="24"/>
        </w:rPr>
        <w:t>спречувањето на тортурата и малтретирањето</w:t>
      </w:r>
      <w:r w:rsidRPr="005147EE">
        <w:rPr>
          <w:rFonts w:ascii="Times New Roman" w:hAnsi="Times New Roman"/>
          <w:color w:val="000000"/>
          <w:sz w:val="24"/>
          <w:szCs w:val="24"/>
        </w:rPr>
        <w:t xml:space="preserve">, Северна Македонија </w:t>
      </w:r>
      <w:r>
        <w:rPr>
          <w:rFonts w:ascii="Times New Roman" w:hAnsi="Times New Roman"/>
          <w:color w:val="000000"/>
          <w:sz w:val="24"/>
          <w:szCs w:val="24"/>
        </w:rPr>
        <w:t>с</w:t>
      </w:r>
      <w:r w:rsidRPr="009768C4">
        <w:rPr>
          <w:rFonts w:ascii="Times New Roman" w:hAnsi="Times New Roman"/>
          <w:color w:val="000000"/>
          <w:sz w:val="24"/>
          <w:szCs w:val="24"/>
          <w:lang w:val="ru-RU"/>
        </w:rPr>
        <w:t>è</w:t>
      </w:r>
      <w:r w:rsidRPr="005147EE">
        <w:rPr>
          <w:rFonts w:ascii="Times New Roman" w:hAnsi="Times New Roman"/>
          <w:color w:val="000000"/>
          <w:sz w:val="24"/>
          <w:szCs w:val="24"/>
        </w:rPr>
        <w:t xml:space="preserve"> уште треба да ги спроведе препораките од Европскиот комитет за спречување тортура (КПТ) објавени во 2021 година, како и оние од претходните извештаи.</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Механизмот за надворешен надзор врз полицијата, вклучително и </w:t>
      </w:r>
      <w:r>
        <w:rPr>
          <w:rFonts w:ascii="Times New Roman" w:hAnsi="Times New Roman"/>
          <w:color w:val="000000"/>
          <w:sz w:val="24"/>
          <w:szCs w:val="24"/>
        </w:rPr>
        <w:t xml:space="preserve">врз </w:t>
      </w:r>
      <w:r w:rsidRPr="005147EE">
        <w:rPr>
          <w:rFonts w:ascii="Times New Roman" w:hAnsi="Times New Roman"/>
          <w:color w:val="000000"/>
          <w:sz w:val="24"/>
          <w:szCs w:val="24"/>
        </w:rPr>
        <w:t xml:space="preserve">затворската полиција, </w:t>
      </w:r>
      <w:r>
        <w:rPr>
          <w:rFonts w:ascii="Times New Roman" w:hAnsi="Times New Roman"/>
          <w:color w:val="000000"/>
          <w:sz w:val="24"/>
          <w:szCs w:val="24"/>
        </w:rPr>
        <w:t>с</w:t>
      </w:r>
      <w:r w:rsidRPr="009768C4">
        <w:rPr>
          <w:rFonts w:ascii="Times New Roman" w:hAnsi="Times New Roman"/>
          <w:color w:val="000000"/>
          <w:sz w:val="24"/>
          <w:szCs w:val="24"/>
          <w:lang w:val="ru-RU"/>
        </w:rPr>
        <w:t>è</w:t>
      </w:r>
      <w:r w:rsidRPr="005147EE">
        <w:rPr>
          <w:rFonts w:ascii="Times New Roman" w:hAnsi="Times New Roman"/>
          <w:color w:val="000000"/>
          <w:sz w:val="24"/>
          <w:szCs w:val="24"/>
        </w:rPr>
        <w:t xml:space="preserve"> уште не е целосно функционален, при што Собранието допрва треба да ги избере тројцата претставници на ГО утврдени со закон. Во 2022 година механизмот за граѓанска контрола на Народниот правобранител постапи по 11 претставки, наспроти осум претставки во 2021 година. Поднесе три барања за поведување постапка за утврдување кривична одговорност до ЈО, наспроти едно слично барање пратено во 2021 година. Во еден предмет поднесен пред Основниот кривичен суд Скопје, полициски службеник е прогласен за виновен за малтретирање при вршење должност. Во 2022 година, наменскиот оддел при ЈО отвори 163 нови предмети (кривични пријави) против 299 лица со полициски овластувања или припадници на затворската полиција поради сомнение за сторени кривични дела. Сите пријавени случаи мора да се истражат без одложување, а мерките за заштита од полициско малтретирање мора систематски да се спроведуваат. Постои потреба од поголемо подигање на свеста за механизмот за надворешен надзор на полицијата и подобри можности за обука за да се унапреди доброто разбирање на системот.</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Во 2022 година Одделот за внатрешна контрола, криминалистички истраги и професионални стандарди при Министерството за внатрешни работи разгледа 52 претставки за употреба на прекумерна физичка сила од страна на полициски службеници (63 претставки во 2021 година), од кои за 28 утврди дека се неосновани, а кај 20 недостигаа докази. </w:t>
      </w:r>
      <w:r>
        <w:rPr>
          <w:rFonts w:ascii="Times New Roman" w:hAnsi="Times New Roman"/>
          <w:color w:val="000000"/>
          <w:sz w:val="24"/>
          <w:szCs w:val="24"/>
        </w:rPr>
        <w:t>До ЈО беа поднесени ч</w:t>
      </w:r>
      <w:r w:rsidRPr="005147EE">
        <w:rPr>
          <w:rFonts w:ascii="Times New Roman" w:hAnsi="Times New Roman"/>
          <w:color w:val="000000"/>
          <w:sz w:val="24"/>
          <w:szCs w:val="24"/>
        </w:rPr>
        <w:t>етири кривични пријави за нечовечно постапување против шест полициски службеници. Во 2022 година затворите поднеле 129 пријави за употреба на присилба врз осудени лица до Управата за извршување санкции.</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Северна Македонија треба итно да се справи со постојаното прашање на несоодветните услови за притвор во затворите, полициските станици, установите за социјална заштита и </w:t>
      </w:r>
      <w:r>
        <w:rPr>
          <w:rFonts w:ascii="Times New Roman" w:hAnsi="Times New Roman"/>
          <w:color w:val="000000"/>
          <w:sz w:val="24"/>
          <w:szCs w:val="24"/>
        </w:rPr>
        <w:t xml:space="preserve">во </w:t>
      </w:r>
      <w:r w:rsidRPr="005147EE">
        <w:rPr>
          <w:rFonts w:ascii="Times New Roman" w:hAnsi="Times New Roman"/>
          <w:color w:val="000000"/>
          <w:sz w:val="24"/>
          <w:szCs w:val="24"/>
        </w:rPr>
        <w:t xml:space="preserve">психијатриските установи, во согласност со препораките од последниот извештај на КПТ. Судската </w:t>
      </w:r>
      <w:r>
        <w:rPr>
          <w:rFonts w:ascii="Times New Roman" w:hAnsi="Times New Roman"/>
          <w:color w:val="000000"/>
          <w:sz w:val="24"/>
          <w:szCs w:val="24"/>
        </w:rPr>
        <w:t>практика</w:t>
      </w:r>
      <w:r w:rsidRPr="005147EE">
        <w:rPr>
          <w:rFonts w:ascii="Times New Roman" w:hAnsi="Times New Roman"/>
          <w:color w:val="000000"/>
          <w:sz w:val="24"/>
          <w:szCs w:val="24"/>
        </w:rPr>
        <w:t xml:space="preserve"> на ЕСЧП покажува дека лошите услови на притвор може да се сметаат како основа за повреда на членот 3 за забрана на тортура. Во 2022 година Националниот превентивен механизам спроведе 18 посети на полициски станици, затвори и воспитно-поправни установи, психијатриски болници и места каде што се сместуваат или </w:t>
      </w:r>
      <w:r>
        <w:rPr>
          <w:rFonts w:ascii="Times New Roman" w:hAnsi="Times New Roman"/>
          <w:color w:val="000000"/>
          <w:sz w:val="24"/>
          <w:szCs w:val="24"/>
        </w:rPr>
        <w:t xml:space="preserve">се </w:t>
      </w:r>
      <w:r w:rsidRPr="005147EE">
        <w:rPr>
          <w:rFonts w:ascii="Times New Roman" w:hAnsi="Times New Roman"/>
          <w:color w:val="000000"/>
          <w:sz w:val="24"/>
          <w:szCs w:val="24"/>
        </w:rPr>
        <w:t xml:space="preserve">приведуваат странци и баратели на азил. </w:t>
      </w:r>
      <w:r w:rsidRPr="005147EE">
        <w:rPr>
          <w:rFonts w:ascii="Times New Roman" w:hAnsi="Times New Roman"/>
          <w:sz w:val="24"/>
          <w:szCs w:val="24"/>
        </w:rPr>
        <w:t xml:space="preserve">Прашањата </w:t>
      </w:r>
      <w:r>
        <w:rPr>
          <w:rFonts w:ascii="Times New Roman" w:hAnsi="Times New Roman"/>
          <w:sz w:val="24"/>
          <w:szCs w:val="24"/>
        </w:rPr>
        <w:t>отворени</w:t>
      </w:r>
      <w:r w:rsidRPr="005147EE">
        <w:rPr>
          <w:rFonts w:ascii="Times New Roman" w:hAnsi="Times New Roman"/>
          <w:sz w:val="24"/>
          <w:szCs w:val="24"/>
        </w:rPr>
        <w:t xml:space="preserve"> во претходните години остануваат нерешени, а особено </w:t>
      </w:r>
      <w:r>
        <w:rPr>
          <w:rFonts w:ascii="Times New Roman" w:hAnsi="Times New Roman"/>
          <w:sz w:val="24"/>
          <w:szCs w:val="24"/>
        </w:rPr>
        <w:t>немањето</w:t>
      </w:r>
      <w:r w:rsidRPr="005147EE">
        <w:rPr>
          <w:rFonts w:ascii="Times New Roman" w:hAnsi="Times New Roman"/>
          <w:sz w:val="24"/>
          <w:szCs w:val="24"/>
        </w:rPr>
        <w:t xml:space="preserve"> соодветни услови за работа за полициските службеници и недостатокот на соодветна здравствена заштита во затворите.</w:t>
      </w:r>
      <w:r w:rsidRPr="005147EE">
        <w:rPr>
          <w:rFonts w:ascii="Times New Roman" w:hAnsi="Times New Roman"/>
          <w:color w:val="000000"/>
          <w:sz w:val="24"/>
          <w:szCs w:val="24"/>
        </w:rPr>
        <w:t xml:space="preserve"> Дополнително, Националниот превентивен механизам пријави загрижувачко влошување на безбедносните услови во затвореното одделение во „Идризово“.</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Иако инфраструктурата во </w:t>
      </w:r>
      <w:r>
        <w:rPr>
          <w:rFonts w:ascii="Times New Roman" w:hAnsi="Times New Roman"/>
          <w:color w:val="000000"/>
          <w:sz w:val="24"/>
          <w:szCs w:val="24"/>
        </w:rPr>
        <w:t>многу</w:t>
      </w:r>
      <w:r w:rsidRPr="005147EE">
        <w:rPr>
          <w:rFonts w:ascii="Times New Roman" w:hAnsi="Times New Roman"/>
          <w:color w:val="000000"/>
          <w:sz w:val="24"/>
          <w:szCs w:val="24"/>
        </w:rPr>
        <w:t xml:space="preserve"> затворски установи беше реновирана и подобрена, условите во делови од затворот „Идризово“ и </w:t>
      </w:r>
      <w:r>
        <w:rPr>
          <w:rFonts w:ascii="Times New Roman" w:hAnsi="Times New Roman"/>
          <w:color w:val="000000"/>
          <w:sz w:val="24"/>
          <w:szCs w:val="24"/>
        </w:rPr>
        <w:t xml:space="preserve">во </w:t>
      </w:r>
      <w:r w:rsidRPr="005147EE">
        <w:rPr>
          <w:rFonts w:ascii="Times New Roman" w:hAnsi="Times New Roman"/>
          <w:color w:val="000000"/>
          <w:sz w:val="24"/>
          <w:szCs w:val="24"/>
        </w:rPr>
        <w:t xml:space="preserve">другите притворски објекти на </w:t>
      </w:r>
      <w:r w:rsidRPr="005147EE">
        <w:rPr>
          <w:rFonts w:ascii="Times New Roman" w:hAnsi="Times New Roman"/>
          <w:b/>
          <w:bCs/>
          <w:color w:val="000000"/>
          <w:sz w:val="24"/>
          <w:szCs w:val="24"/>
        </w:rPr>
        <w:t>затворскиот систем</w:t>
      </w:r>
      <w:r w:rsidRPr="005147EE">
        <w:rPr>
          <w:rFonts w:ascii="Times New Roman" w:hAnsi="Times New Roman"/>
          <w:color w:val="000000"/>
          <w:sz w:val="24"/>
          <w:szCs w:val="24"/>
        </w:rPr>
        <w:t xml:space="preserve"> остануваат нехумани. Пријавената пренатрупаност предизвикува дополнителна загриженост за затворениците (2</w:t>
      </w:r>
      <w:r>
        <w:rPr>
          <w:rFonts w:ascii="Times New Roman" w:hAnsi="Times New Roman"/>
          <w:color w:val="000000"/>
          <w:sz w:val="24"/>
          <w:szCs w:val="24"/>
        </w:rPr>
        <w:t>.</w:t>
      </w:r>
      <w:r w:rsidRPr="005147EE">
        <w:rPr>
          <w:rFonts w:ascii="Times New Roman" w:hAnsi="Times New Roman"/>
          <w:color w:val="000000"/>
          <w:sz w:val="24"/>
          <w:szCs w:val="24"/>
        </w:rPr>
        <w:t>476 осудени и притворени лица според податоци од април 2023 година). Приоритет треба да е реновирањето на најзапуштената зграда во согласност со препораките на КПТ.</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Назначувањето нов вршител на должност директор на Управата за извршување санкции и вршител на должност директор на затворот „Идризово“ беше позитивен чекор, земајќи ги предвид нивните релевантни професионални </w:t>
      </w:r>
      <w:r>
        <w:rPr>
          <w:rFonts w:ascii="Times New Roman" w:hAnsi="Times New Roman"/>
          <w:color w:val="000000"/>
          <w:sz w:val="24"/>
          <w:szCs w:val="24"/>
        </w:rPr>
        <w:t>квалификации</w:t>
      </w:r>
      <w:r w:rsidRPr="005147EE">
        <w:rPr>
          <w:rFonts w:ascii="Times New Roman" w:hAnsi="Times New Roman"/>
          <w:color w:val="000000"/>
          <w:sz w:val="24"/>
          <w:szCs w:val="24"/>
        </w:rPr>
        <w:t>. Сепак, барањата од Законот за извршување санкции од 2019 година за избор на раководство на затворот</w:t>
      </w:r>
      <w:r>
        <w:rPr>
          <w:rFonts w:ascii="Times New Roman" w:hAnsi="Times New Roman"/>
          <w:color w:val="000000"/>
          <w:sz w:val="24"/>
          <w:szCs w:val="24"/>
        </w:rPr>
        <w:t>,</w:t>
      </w:r>
      <w:r w:rsidRPr="005147EE">
        <w:rPr>
          <w:rFonts w:ascii="Times New Roman" w:hAnsi="Times New Roman"/>
          <w:color w:val="000000"/>
          <w:sz w:val="24"/>
          <w:szCs w:val="24"/>
        </w:rPr>
        <w:t xml:space="preserve"> не беа доследно применети.</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Треба да продолжат редовните инспекции на затворите. Корупцијата во затворите е исто така проблем </w:t>
      </w:r>
      <w:r>
        <w:rPr>
          <w:rFonts w:ascii="Times New Roman" w:hAnsi="Times New Roman"/>
          <w:color w:val="000000"/>
          <w:sz w:val="24"/>
          <w:szCs w:val="24"/>
        </w:rPr>
        <w:t>што</w:t>
      </w:r>
      <w:r w:rsidRPr="005147EE">
        <w:rPr>
          <w:rFonts w:ascii="Times New Roman" w:hAnsi="Times New Roman"/>
          <w:color w:val="000000"/>
          <w:sz w:val="24"/>
          <w:szCs w:val="24"/>
        </w:rPr>
        <w:t xml:space="preserve"> се повторува. Во 2022 година беше </w:t>
      </w:r>
      <w:r>
        <w:rPr>
          <w:rFonts w:ascii="Times New Roman" w:hAnsi="Times New Roman"/>
          <w:color w:val="000000"/>
          <w:sz w:val="24"/>
          <w:szCs w:val="24"/>
        </w:rPr>
        <w:t>донесен</w:t>
      </w:r>
      <w:r w:rsidRPr="005147EE">
        <w:rPr>
          <w:rFonts w:ascii="Times New Roman" w:hAnsi="Times New Roman"/>
          <w:color w:val="000000"/>
          <w:sz w:val="24"/>
          <w:szCs w:val="24"/>
        </w:rPr>
        <w:t xml:space="preserve"> план за спречување на корупцијата во националниот затворски систем за 2022</w:t>
      </w:r>
      <w:r>
        <w:rPr>
          <w:rFonts w:ascii="Times New Roman" w:hAnsi="Times New Roman"/>
          <w:color w:val="000000"/>
          <w:sz w:val="24"/>
          <w:szCs w:val="24"/>
        </w:rPr>
        <w:t xml:space="preserve"> – 20</w:t>
      </w:r>
      <w:r w:rsidRPr="005147EE">
        <w:rPr>
          <w:rFonts w:ascii="Times New Roman" w:hAnsi="Times New Roman"/>
          <w:color w:val="000000"/>
          <w:sz w:val="24"/>
          <w:szCs w:val="24"/>
        </w:rPr>
        <w:t xml:space="preserve">26 година, заедно со годишниот план за 2023 година. Покрај позитивните напори да се поттикне медицинскиот кадар </w:t>
      </w:r>
      <w:r>
        <w:rPr>
          <w:rFonts w:ascii="Times New Roman" w:hAnsi="Times New Roman"/>
          <w:color w:val="000000"/>
          <w:sz w:val="24"/>
          <w:szCs w:val="24"/>
        </w:rPr>
        <w:t>што</w:t>
      </w:r>
      <w:r w:rsidRPr="005147EE">
        <w:rPr>
          <w:rFonts w:ascii="Times New Roman" w:hAnsi="Times New Roman"/>
          <w:color w:val="000000"/>
          <w:sz w:val="24"/>
          <w:szCs w:val="24"/>
        </w:rPr>
        <w:t xml:space="preserve"> работи во затворите со надоместок за работа во тешки услови, недостатокот на соодветна здравствена заштита или мерки за лекување на зависноста од дрога во затворите</w:t>
      </w:r>
      <w:r>
        <w:rPr>
          <w:rFonts w:ascii="Times New Roman" w:hAnsi="Times New Roman"/>
          <w:color w:val="000000"/>
          <w:sz w:val="24"/>
          <w:szCs w:val="24"/>
        </w:rPr>
        <w:t>,</w:t>
      </w:r>
      <w:r w:rsidRPr="005147EE">
        <w:rPr>
          <w:rFonts w:ascii="Times New Roman" w:hAnsi="Times New Roman"/>
          <w:color w:val="000000"/>
          <w:sz w:val="24"/>
          <w:szCs w:val="24"/>
        </w:rPr>
        <w:t xml:space="preserve"> останува прашање на сериозна загриженост.</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Со цел целосно спроведување на Стратегијата за развој на пенитенцијарниот систем за 2021</w:t>
      </w:r>
      <w:r>
        <w:rPr>
          <w:rFonts w:ascii="Times New Roman" w:hAnsi="Times New Roman"/>
          <w:color w:val="000000"/>
          <w:sz w:val="24"/>
          <w:szCs w:val="24"/>
        </w:rPr>
        <w:t xml:space="preserve"> – </w:t>
      </w:r>
      <w:r w:rsidRPr="005147EE">
        <w:rPr>
          <w:rFonts w:ascii="Times New Roman" w:hAnsi="Times New Roman"/>
          <w:color w:val="000000"/>
          <w:sz w:val="24"/>
          <w:szCs w:val="24"/>
        </w:rPr>
        <w:t>2025 година, потребни се финансиски средства, дополнителен кадар и политичка посветеност.</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Пробацискиот систем продолжува да се развива, а бројот на случаи се зголемува. Во 2022 година, вкупниот број предмети по кои постапуваа 11-те пробациски канцеларии се зголеми на 475 (451 во 2021 година). Соработката меѓу јавниот и приватниот сектор и граѓанското општество, како и меѓу агенциите, треба да продолжи. Подобрена е и треба да продолжи координацијата меѓу пробациските службеници, судиите, јавните обвинители, затворскиот кадар и другите институции пред ослободувањето на осудено лице. Концентрацијата на најголем дел од пробациските предмети во Основниот кривичен суд Скопје ја истакнува потребата од обука и подигање на свеста за придобивките од пробацијата во другите судови во државата. Не е постигнат напредок во донесувањето измени во правната рамка во врска со алтернативните казни и алтернативните постапки за да се зголеми нивната примена. Не е постигнат значителен напредок во решавање на општиот недостаток на наменски едукативни, рекреативни и стручни активности на осудените и </w:t>
      </w:r>
      <w:r>
        <w:rPr>
          <w:rFonts w:ascii="Times New Roman" w:hAnsi="Times New Roman"/>
          <w:color w:val="000000"/>
          <w:sz w:val="24"/>
          <w:szCs w:val="24"/>
        </w:rPr>
        <w:t xml:space="preserve">на </w:t>
      </w:r>
      <w:r w:rsidRPr="005147EE">
        <w:rPr>
          <w:rFonts w:ascii="Times New Roman" w:hAnsi="Times New Roman"/>
          <w:color w:val="000000"/>
          <w:sz w:val="24"/>
          <w:szCs w:val="24"/>
        </w:rPr>
        <w:t>притворените лица. Во сите казнено-поправни установи и воспитно-поправни установи треба да има образовни услуги и услуги за ресоцијализација, како и програми за лекување.</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Во однос на </w:t>
      </w:r>
      <w:r w:rsidRPr="005147EE">
        <w:rPr>
          <w:rFonts w:ascii="Times New Roman" w:hAnsi="Times New Roman"/>
          <w:b/>
          <w:bCs/>
          <w:color w:val="000000"/>
          <w:sz w:val="24"/>
          <w:szCs w:val="24"/>
        </w:rPr>
        <w:t>заштитата на личните податоци</w:t>
      </w:r>
      <w:r w:rsidRPr="005147EE">
        <w:rPr>
          <w:rFonts w:ascii="Times New Roman" w:hAnsi="Times New Roman"/>
          <w:color w:val="000000"/>
          <w:sz w:val="24"/>
          <w:szCs w:val="24"/>
        </w:rPr>
        <w:t xml:space="preserve">, потребно е целосно усогласување со Општата регулатива за заштита на податоци. Области во кои е потребно усогласување се: пренос на лични податоци; независноста на Агенцијата за заштита на лични податоци (АЗЛП); застарени делови од старите национални закони кои треба да се укинат. АЗЛП предложи измени на Законот за заштита на личните податоци (ЗЗЛП). Земјата треба да </w:t>
      </w:r>
      <w:r>
        <w:rPr>
          <w:rFonts w:ascii="Times New Roman" w:hAnsi="Times New Roman"/>
          <w:color w:val="000000"/>
          <w:sz w:val="24"/>
          <w:szCs w:val="24"/>
        </w:rPr>
        <w:t>донесе</w:t>
      </w:r>
      <w:r w:rsidRPr="005147EE">
        <w:rPr>
          <w:rFonts w:ascii="Times New Roman" w:hAnsi="Times New Roman"/>
          <w:color w:val="000000"/>
          <w:sz w:val="24"/>
          <w:szCs w:val="24"/>
        </w:rPr>
        <w:t xml:space="preserve"> национално законодавство во согласност со Директивата на ЕУ за спроведување на законот.</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Многу секторски закони </w:t>
      </w:r>
      <w:r>
        <w:rPr>
          <w:rFonts w:ascii="Times New Roman" w:hAnsi="Times New Roman"/>
          <w:color w:val="000000"/>
          <w:sz w:val="24"/>
          <w:szCs w:val="24"/>
        </w:rPr>
        <w:t>што</w:t>
      </w:r>
      <w:r w:rsidRPr="005147EE">
        <w:rPr>
          <w:rFonts w:ascii="Times New Roman" w:hAnsi="Times New Roman"/>
          <w:color w:val="000000"/>
          <w:sz w:val="24"/>
          <w:szCs w:val="24"/>
        </w:rPr>
        <w:t xml:space="preserve"> содржат одредби за обработка на лични податоци допрва треба да се усогласат со ЗЗЛП. Дополнително, АЗЛП не е секогаш консултирана за секторските закони или законодавството за спроведување и нејзините совети не се прифаќаат</w:t>
      </w:r>
      <w:r>
        <w:rPr>
          <w:rFonts w:ascii="Times New Roman" w:hAnsi="Times New Roman"/>
          <w:color w:val="000000"/>
          <w:sz w:val="24"/>
          <w:szCs w:val="24"/>
        </w:rPr>
        <w:t xml:space="preserve"> </w:t>
      </w:r>
      <w:r w:rsidRPr="005147EE">
        <w:rPr>
          <w:rFonts w:ascii="Times New Roman" w:hAnsi="Times New Roman"/>
          <w:color w:val="000000"/>
          <w:sz w:val="24"/>
          <w:szCs w:val="24"/>
        </w:rPr>
        <w:t>секогаш.</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Севкупно, контролорите на податоци не го спроведуваат ЗЗЛП. Во 2022 година Агенцијата примила 19 известувања за прекршување на правилата за лични податоци, наспроти едно известување во 2021 година.</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Капацитетот на Агенцијата не одговара на нејзините задачи и овластувања. Агенцијата во моментов работи со само 21 вработен</w:t>
      </w:r>
      <w:r>
        <w:rPr>
          <w:rFonts w:ascii="Times New Roman" w:hAnsi="Times New Roman"/>
          <w:color w:val="000000"/>
          <w:sz w:val="24"/>
          <w:szCs w:val="24"/>
        </w:rPr>
        <w:t>,</w:t>
      </w:r>
      <w:r w:rsidRPr="005147EE">
        <w:rPr>
          <w:rFonts w:ascii="Times New Roman" w:hAnsi="Times New Roman"/>
          <w:color w:val="000000"/>
          <w:sz w:val="24"/>
          <w:szCs w:val="24"/>
        </w:rPr>
        <w:t xml:space="preserve"> меѓу кои има само пет супервизори и еден ИТ</w:t>
      </w:r>
      <w:r>
        <w:rPr>
          <w:rFonts w:ascii="Times New Roman" w:hAnsi="Times New Roman"/>
          <w:color w:val="000000"/>
          <w:sz w:val="24"/>
          <w:szCs w:val="24"/>
        </w:rPr>
        <w:t>-</w:t>
      </w:r>
      <w:r w:rsidRPr="005147EE">
        <w:rPr>
          <w:rFonts w:ascii="Times New Roman" w:hAnsi="Times New Roman"/>
          <w:color w:val="000000"/>
          <w:sz w:val="24"/>
          <w:szCs w:val="24"/>
        </w:rPr>
        <w:t xml:space="preserve">специјалист. Агенцијата не е целосно финансиски автономна. </w:t>
      </w:r>
      <w:r w:rsidRPr="005147EE">
        <w:rPr>
          <w:rFonts w:ascii="Times New Roman" w:hAnsi="Times New Roman"/>
          <w:sz w:val="24"/>
          <w:szCs w:val="24"/>
        </w:rPr>
        <w:t>Државните средства доделени на Агенцијата</w:t>
      </w:r>
      <w:r>
        <w:rPr>
          <w:rFonts w:ascii="Times New Roman" w:hAnsi="Times New Roman"/>
          <w:sz w:val="24"/>
          <w:szCs w:val="24"/>
        </w:rPr>
        <w:t>,</w:t>
      </w:r>
      <w:r w:rsidRPr="005147EE">
        <w:rPr>
          <w:rFonts w:ascii="Times New Roman" w:hAnsi="Times New Roman"/>
          <w:sz w:val="24"/>
          <w:szCs w:val="24"/>
        </w:rPr>
        <w:t xml:space="preserve"> се доволни само за покривање на основните функции без простор за инвестирање во професионален развој на кадарот или замена на застарени возила и ИТ</w:t>
      </w:r>
      <w:r>
        <w:rPr>
          <w:rFonts w:ascii="Times New Roman" w:hAnsi="Times New Roman"/>
          <w:sz w:val="24"/>
          <w:szCs w:val="24"/>
        </w:rPr>
        <w:t>-</w:t>
      </w:r>
      <w:r w:rsidRPr="005147EE">
        <w:rPr>
          <w:rFonts w:ascii="Times New Roman" w:hAnsi="Times New Roman"/>
          <w:sz w:val="24"/>
          <w:szCs w:val="24"/>
        </w:rPr>
        <w:t>опрема.</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Во 2022 година Агенцијата спроведе 170 надзори (наспроти 304 во 2021 година), прими 300 претставки (540 во 2021 година), а изрече опомена во 10 случаи (17 во 2021 година). Агенцијата издаде 15 мислења по предлог-закони и законодавство за спроведување. Агенцијата спроведе 13 обуки и одржа 19 координативни состаноци со офицерите за заштита на лични податоци, </w:t>
      </w:r>
      <w:r>
        <w:rPr>
          <w:rFonts w:ascii="Times New Roman" w:hAnsi="Times New Roman"/>
          <w:color w:val="000000"/>
          <w:sz w:val="24"/>
          <w:szCs w:val="24"/>
        </w:rPr>
        <w:t xml:space="preserve">во </w:t>
      </w:r>
      <w:r w:rsidRPr="005147EE">
        <w:rPr>
          <w:rFonts w:ascii="Times New Roman" w:hAnsi="Times New Roman"/>
          <w:color w:val="000000"/>
          <w:sz w:val="24"/>
          <w:szCs w:val="24"/>
        </w:rPr>
        <w:t>согласно</w:t>
      </w:r>
      <w:r>
        <w:rPr>
          <w:rFonts w:ascii="Times New Roman" w:hAnsi="Times New Roman"/>
          <w:color w:val="000000"/>
          <w:sz w:val="24"/>
          <w:szCs w:val="24"/>
        </w:rPr>
        <w:t>ст со</w:t>
      </w:r>
      <w:r w:rsidRPr="005147EE">
        <w:rPr>
          <w:rFonts w:ascii="Times New Roman" w:hAnsi="Times New Roman"/>
          <w:color w:val="000000"/>
          <w:sz w:val="24"/>
          <w:szCs w:val="24"/>
        </w:rPr>
        <w:t xml:space="preserve"> добрата практика. Последните измени на Законот за финансиски друштва доведоа до зголемување на бројот на претставки. Поради недоследност во Законот, имаше претставки од граѓани за злоупотреба на личните податоци при добивање „брзи кредити“. Агенцијата почна да изрекува прекршочни санкции за одредени наведени фирми. Годишниот извештај на Агенцијата во Собранието откри дека недостасува вистинско разгледување и постапување по препораките.</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Тематскиот надзор за следењето на комуникациите</w:t>
      </w:r>
      <w:r>
        <w:rPr>
          <w:rFonts w:ascii="Times New Roman" w:hAnsi="Times New Roman"/>
          <w:color w:val="000000"/>
          <w:sz w:val="24"/>
          <w:szCs w:val="24"/>
        </w:rPr>
        <w:t>,</w:t>
      </w:r>
      <w:r w:rsidRPr="005147EE">
        <w:rPr>
          <w:rFonts w:ascii="Times New Roman" w:hAnsi="Times New Roman"/>
          <w:color w:val="000000"/>
          <w:sz w:val="24"/>
          <w:szCs w:val="24"/>
        </w:rPr>
        <w:t xml:space="preserve"> ги вклучи релевантните институции. Потребни се подобрувања во областа на заштитата на личните податоци во изборниот сектор.</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Во отсуство на точни податоци за бројот на напади на </w:t>
      </w:r>
      <w:bookmarkStart w:id="23" w:name="_Hlk150797280"/>
      <w:r w:rsidRPr="005147EE">
        <w:rPr>
          <w:rFonts w:ascii="Times New Roman" w:hAnsi="Times New Roman"/>
          <w:color w:val="000000"/>
          <w:sz w:val="24"/>
          <w:szCs w:val="24"/>
        </w:rPr>
        <w:t>сајбер</w:t>
      </w:r>
      <w:r w:rsidR="00652875">
        <w:rPr>
          <w:rFonts w:ascii="Times New Roman" w:hAnsi="Times New Roman"/>
          <w:color w:val="000000"/>
          <w:sz w:val="24"/>
          <w:szCs w:val="24"/>
        </w:rPr>
        <w:t xml:space="preserve"> </w:t>
      </w:r>
      <w:r w:rsidRPr="005147EE">
        <w:rPr>
          <w:rFonts w:ascii="Times New Roman" w:hAnsi="Times New Roman"/>
          <w:color w:val="000000"/>
          <w:sz w:val="24"/>
          <w:szCs w:val="24"/>
        </w:rPr>
        <w:t xml:space="preserve">криминал </w:t>
      </w:r>
      <w:bookmarkEnd w:id="23"/>
      <w:r>
        <w:rPr>
          <w:rFonts w:ascii="Times New Roman" w:hAnsi="Times New Roman"/>
          <w:color w:val="000000"/>
          <w:sz w:val="24"/>
          <w:szCs w:val="24"/>
        </w:rPr>
        <w:t xml:space="preserve">што </w:t>
      </w:r>
      <w:r w:rsidRPr="005147EE">
        <w:rPr>
          <w:rFonts w:ascii="Times New Roman" w:hAnsi="Times New Roman"/>
          <w:color w:val="000000"/>
          <w:sz w:val="24"/>
          <w:szCs w:val="24"/>
        </w:rPr>
        <w:t xml:space="preserve">вклучуваат злоупотреба на личните податоци и бројот на обвиненија и правосилни пресуди поврзани со овие случаи, во јавноста постои </w:t>
      </w:r>
      <w:r>
        <w:rPr>
          <w:rFonts w:ascii="Times New Roman" w:hAnsi="Times New Roman"/>
          <w:color w:val="000000"/>
          <w:sz w:val="24"/>
          <w:szCs w:val="24"/>
        </w:rPr>
        <w:t>впечаток</w:t>
      </w:r>
      <w:r w:rsidRPr="005147EE">
        <w:rPr>
          <w:rFonts w:ascii="Times New Roman" w:hAnsi="Times New Roman"/>
          <w:color w:val="000000"/>
          <w:sz w:val="24"/>
          <w:szCs w:val="24"/>
        </w:rPr>
        <w:t xml:space="preserve"> дека институциите имаат слаб капацитет или посветеност да ги гонат овие случаи. Постои силна потреба од натамошно подигање на свеста и поттикнување култура на заштита на личните податоци во сите сектори.</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b/>
          <w:bCs/>
          <w:color w:val="000000"/>
          <w:sz w:val="24"/>
          <w:szCs w:val="24"/>
        </w:rPr>
        <w:t>Слободата на мисла, совест и религија</w:t>
      </w:r>
      <w:r w:rsidRPr="005147EE">
        <w:rPr>
          <w:rFonts w:ascii="Times New Roman" w:hAnsi="Times New Roman"/>
          <w:color w:val="000000"/>
          <w:sz w:val="24"/>
          <w:szCs w:val="24"/>
        </w:rPr>
        <w:t xml:space="preserve"> е загарантирана со Уставот и се спроведува во </w:t>
      </w:r>
      <w:r>
        <w:rPr>
          <w:rFonts w:ascii="Times New Roman" w:hAnsi="Times New Roman"/>
          <w:color w:val="000000"/>
          <w:sz w:val="24"/>
          <w:szCs w:val="24"/>
        </w:rPr>
        <w:t>практика</w:t>
      </w:r>
      <w:r w:rsidRPr="005147EE">
        <w:rPr>
          <w:rFonts w:ascii="Times New Roman" w:hAnsi="Times New Roman"/>
          <w:color w:val="000000"/>
          <w:sz w:val="24"/>
          <w:szCs w:val="24"/>
        </w:rPr>
        <w:t xml:space="preserve">. Законот забранува дискриминација врз основа на религија. Комисијата за односи со верските заедници и религиозни групи е главното владино тело одговорно за соработка помеѓу </w:t>
      </w:r>
      <w:r>
        <w:rPr>
          <w:rFonts w:ascii="Times New Roman" w:hAnsi="Times New Roman"/>
          <w:color w:val="000000"/>
          <w:sz w:val="24"/>
          <w:szCs w:val="24"/>
        </w:rPr>
        <w:t>В</w:t>
      </w:r>
      <w:r w:rsidRPr="005147EE">
        <w:rPr>
          <w:rFonts w:ascii="Times New Roman" w:hAnsi="Times New Roman"/>
          <w:color w:val="000000"/>
          <w:sz w:val="24"/>
          <w:szCs w:val="24"/>
        </w:rPr>
        <w:t>ладата и регистрираните верски заедници и се охрабрува да продолжи да го поттикнува меѓурелигискиот дијалог и соработка меѓу верските заедници. Владата ја одложува акредитацијата на верските средни училишта во земјава, што ги спречува учениците со дипломи од овие училишта да стекнат високо образование.</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b/>
          <w:bCs/>
          <w:color w:val="000000"/>
          <w:sz w:val="24"/>
          <w:szCs w:val="24"/>
        </w:rPr>
        <w:t>Слобода на изразување</w:t>
      </w:r>
    </w:p>
    <w:p w:rsidR="009768C4" w:rsidRPr="005147EE"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Северна Македонија е помеѓу </w:t>
      </w:r>
      <w:r w:rsidRPr="005147EE">
        <w:rPr>
          <w:rFonts w:ascii="Times New Roman" w:hAnsi="Times New Roman"/>
          <w:b/>
          <w:bCs/>
          <w:color w:val="000000"/>
          <w:sz w:val="24"/>
          <w:szCs w:val="24"/>
        </w:rPr>
        <w:t>одредено и умерено ниво на подготвеност</w:t>
      </w:r>
      <w:r w:rsidRPr="005147EE">
        <w:rPr>
          <w:rFonts w:ascii="Times New Roman" w:hAnsi="Times New Roman"/>
          <w:color w:val="000000"/>
          <w:sz w:val="24"/>
          <w:szCs w:val="24"/>
        </w:rPr>
        <w:t xml:space="preserve"> во областа на слободата на изразување. Севкупно, постигна </w:t>
      </w:r>
      <w:r w:rsidRPr="005147EE">
        <w:rPr>
          <w:rFonts w:ascii="Times New Roman" w:hAnsi="Times New Roman"/>
          <w:b/>
          <w:bCs/>
          <w:color w:val="000000"/>
          <w:sz w:val="24"/>
          <w:szCs w:val="24"/>
        </w:rPr>
        <w:t>ограничен</w:t>
      </w:r>
      <w:r w:rsidRPr="00E256EB">
        <w:rPr>
          <w:rFonts w:ascii="Times New Roman" w:hAnsi="Times New Roman"/>
          <w:b/>
          <w:bCs/>
          <w:color w:val="000000"/>
          <w:sz w:val="24"/>
          <w:szCs w:val="24"/>
        </w:rPr>
        <w:t xml:space="preserve"> напредок</w:t>
      </w:r>
      <w:r w:rsidRPr="005147EE">
        <w:rPr>
          <w:rFonts w:ascii="Times New Roman" w:hAnsi="Times New Roman"/>
          <w:color w:val="000000"/>
          <w:sz w:val="24"/>
          <w:szCs w:val="24"/>
        </w:rPr>
        <w:t xml:space="preserve">. Општиот контекст за слободата на медиумите е поволен и овозможува критичко медиумско известување. Изменетиот Кривичен законик и Законот за граѓанска одговорност за навреда и клевета го подигнаа севкупното ниво на правна заштита на новинарите. Сепак, забележани се </w:t>
      </w:r>
      <w:r>
        <w:rPr>
          <w:rFonts w:ascii="Times New Roman" w:hAnsi="Times New Roman"/>
          <w:color w:val="000000"/>
          <w:sz w:val="24"/>
          <w:szCs w:val="24"/>
        </w:rPr>
        <w:t>многу</w:t>
      </w:r>
      <w:r w:rsidRPr="005147EE">
        <w:rPr>
          <w:rFonts w:ascii="Times New Roman" w:hAnsi="Times New Roman"/>
          <w:color w:val="000000"/>
          <w:sz w:val="24"/>
          <w:szCs w:val="24"/>
        </w:rPr>
        <w:t xml:space="preserve">бројни напади, закани и одредено заплашување на новинарите. Треба да се обезбеди поголема транспарентност при рекламирањето на државните институции и </w:t>
      </w:r>
      <w:r>
        <w:rPr>
          <w:rFonts w:ascii="Times New Roman" w:hAnsi="Times New Roman"/>
          <w:color w:val="000000"/>
          <w:sz w:val="24"/>
          <w:szCs w:val="24"/>
        </w:rPr>
        <w:t xml:space="preserve">на </w:t>
      </w:r>
      <w:r w:rsidRPr="005147EE">
        <w:rPr>
          <w:rFonts w:ascii="Times New Roman" w:hAnsi="Times New Roman"/>
          <w:color w:val="000000"/>
          <w:sz w:val="24"/>
          <w:szCs w:val="24"/>
        </w:rPr>
        <w:t xml:space="preserve">политичките партии во медиумите. Потребна е реформа на јавниот радиодифузен сервис за да се зајакнат неговата независност, професионалните стандарди и финансиската одржливост. Од декември 2018 година, Собранието го одложува назначувањето на Програмскиот совет на јавниот радиодифузен сервис и </w:t>
      </w:r>
      <w:r>
        <w:rPr>
          <w:rFonts w:ascii="Times New Roman" w:hAnsi="Times New Roman"/>
          <w:color w:val="000000"/>
          <w:sz w:val="24"/>
          <w:szCs w:val="24"/>
        </w:rPr>
        <w:t xml:space="preserve">на </w:t>
      </w:r>
      <w:r w:rsidRPr="005147EE">
        <w:rPr>
          <w:rFonts w:ascii="Times New Roman" w:hAnsi="Times New Roman"/>
          <w:color w:val="000000"/>
          <w:sz w:val="24"/>
          <w:szCs w:val="24"/>
        </w:rPr>
        <w:t>Советот на регулаторот за медиуми. Условите за работа на новинарите остануваат предизвик.</w:t>
      </w:r>
    </w:p>
    <w:p w:rsidR="009768C4" w:rsidRPr="005147EE"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Препораките на Комисијата од минатата година остануваат во важност. Во претстојната година, Северна Македонија треба:</w:t>
      </w:r>
    </w:p>
    <w:p w:rsidR="009768C4" w:rsidRPr="005147EE"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w:t>
      </w:r>
      <w:r w:rsidRPr="005147EE">
        <w:rPr>
          <w:rFonts w:ascii="Times New Roman" w:hAnsi="Times New Roman"/>
          <w:color w:val="000000"/>
          <w:sz w:val="24"/>
          <w:szCs w:val="24"/>
        </w:rPr>
        <w:tab/>
        <w:t xml:space="preserve"> да ја ревидира правната рамка што ги регулира медиумите за да ја усогласи со </w:t>
      </w:r>
      <w:r w:rsidRPr="005147EE">
        <w:rPr>
          <w:rFonts w:ascii="Times New Roman" w:hAnsi="Times New Roman"/>
          <w:i/>
          <w:iCs/>
          <w:color w:val="000000"/>
          <w:sz w:val="24"/>
          <w:szCs w:val="24"/>
        </w:rPr>
        <w:t>правото</w:t>
      </w:r>
      <w:r w:rsidRPr="005147EE">
        <w:rPr>
          <w:rFonts w:ascii="Times New Roman" w:hAnsi="Times New Roman"/>
          <w:color w:val="000000"/>
          <w:sz w:val="24"/>
          <w:szCs w:val="24"/>
        </w:rPr>
        <w:t xml:space="preserve"> на ЕУ и </w:t>
      </w:r>
      <w:r>
        <w:rPr>
          <w:rFonts w:ascii="Times New Roman" w:hAnsi="Times New Roman"/>
          <w:color w:val="000000"/>
          <w:sz w:val="24"/>
          <w:szCs w:val="24"/>
        </w:rPr>
        <w:t xml:space="preserve">со </w:t>
      </w:r>
      <w:r w:rsidRPr="005147EE">
        <w:rPr>
          <w:rFonts w:ascii="Times New Roman" w:hAnsi="Times New Roman"/>
          <w:color w:val="000000"/>
          <w:sz w:val="24"/>
          <w:szCs w:val="24"/>
        </w:rPr>
        <w:t xml:space="preserve">европските стандарди, особено за правилата за конкуренција и </w:t>
      </w:r>
      <w:r>
        <w:rPr>
          <w:rFonts w:ascii="Times New Roman" w:hAnsi="Times New Roman"/>
          <w:color w:val="000000"/>
          <w:sz w:val="24"/>
          <w:szCs w:val="24"/>
        </w:rPr>
        <w:t xml:space="preserve">за </w:t>
      </w:r>
      <w:r w:rsidRPr="005147EE">
        <w:rPr>
          <w:rFonts w:ascii="Times New Roman" w:hAnsi="Times New Roman"/>
          <w:color w:val="000000"/>
          <w:sz w:val="24"/>
          <w:szCs w:val="24"/>
        </w:rPr>
        <w:t>државна помош, правата на интелектуална сопственост, дел од Единствениот пазар на ЕУ;</w:t>
      </w:r>
    </w:p>
    <w:p w:rsidR="009768C4" w:rsidRPr="005147EE"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w:t>
      </w:r>
      <w:r w:rsidRPr="005147EE">
        <w:rPr>
          <w:rFonts w:ascii="Times New Roman" w:hAnsi="Times New Roman"/>
          <w:color w:val="000000"/>
          <w:sz w:val="24"/>
          <w:szCs w:val="24"/>
        </w:rPr>
        <w:tab/>
        <w:t>да го подобри спроведувањето на стратегијата за реформи на јавниот радиодифузер и да ги финализира именувањата во Програмскиот совет на јавниот радиодифузен сервис и во Советот на регулаторот за медиуми;</w:t>
      </w:r>
    </w:p>
    <w:p w:rsidR="009768C4" w:rsidRPr="005147EE"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w:t>
      </w:r>
      <w:r w:rsidRPr="005147EE">
        <w:rPr>
          <w:rFonts w:ascii="Times New Roman" w:hAnsi="Times New Roman"/>
          <w:color w:val="000000"/>
          <w:sz w:val="24"/>
          <w:szCs w:val="24"/>
        </w:rPr>
        <w:tab/>
        <w:t>да продолжи навремено да ги решава сите случаи на закани и насилни дејства врз новинарите и да осигури сторителите да бидат казнети.</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Севкупната средина овозможува слобода на изразување и критичко известување. Правната рамка е подобрена: изменетиот Кривичен законик и Законот за граѓанска одговорност за навреда и клевета, </w:t>
      </w:r>
      <w:r>
        <w:rPr>
          <w:rFonts w:ascii="Times New Roman" w:hAnsi="Times New Roman"/>
          <w:color w:val="000000"/>
          <w:sz w:val="24"/>
          <w:szCs w:val="24"/>
        </w:rPr>
        <w:t>донесен</w:t>
      </w:r>
      <w:r w:rsidRPr="005147EE">
        <w:rPr>
          <w:rFonts w:ascii="Times New Roman" w:hAnsi="Times New Roman"/>
          <w:color w:val="000000"/>
          <w:sz w:val="24"/>
          <w:szCs w:val="24"/>
        </w:rPr>
        <w:t xml:space="preserve"> во ноември 2022 година, ја зголемија правната заштита на новинарите. Системските предизвици остануваат да се решат: длабока медиумска поларизација, физичко и вербално насилство врз новинарите, условите за работа на медиумските работници, особено нивните работнички и социјални права. Треба да се спроведуваат законите што го регулираат </w:t>
      </w:r>
      <w:r>
        <w:rPr>
          <w:rFonts w:ascii="Times New Roman" w:hAnsi="Times New Roman"/>
          <w:color w:val="000000"/>
          <w:sz w:val="24"/>
          <w:szCs w:val="24"/>
        </w:rPr>
        <w:t>работењето</w:t>
      </w:r>
      <w:r w:rsidRPr="005147EE">
        <w:rPr>
          <w:rFonts w:ascii="Times New Roman" w:hAnsi="Times New Roman"/>
          <w:color w:val="000000"/>
          <w:sz w:val="24"/>
          <w:szCs w:val="24"/>
        </w:rPr>
        <w:t xml:space="preserve"> на медиумите. Дигиталните технологии и нарушувањата на медиумскиот пазар</w:t>
      </w:r>
      <w:r>
        <w:rPr>
          <w:rFonts w:ascii="Times New Roman" w:hAnsi="Times New Roman"/>
          <w:color w:val="000000"/>
          <w:sz w:val="24"/>
          <w:szCs w:val="24"/>
        </w:rPr>
        <w:t>,</w:t>
      </w:r>
      <w:r w:rsidRPr="005147EE">
        <w:rPr>
          <w:rFonts w:ascii="Times New Roman" w:hAnsi="Times New Roman"/>
          <w:color w:val="000000"/>
          <w:sz w:val="24"/>
          <w:szCs w:val="24"/>
        </w:rPr>
        <w:t xml:space="preserve"> укажуваат на потребата од општа стратегија за реформа на медиумите во соработка со сите засегнати страни.</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u w:val="single"/>
        </w:rPr>
        <w:t>Заплашување новинари</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Во 2022 година Министерството за внатрешни работи евидентирало 17 случаи на напади врз новинари и отвори истраги. Здружението на новинари евидентираше 14 инциденти во кои учествувале новинари, од кои четири вклучуваат физички напади или незаконски притвор, а 11 вклучуваат вербални напади, закани и други облици на заплашување. Агенцијата за аудио и аудиовизуелни медиумски услуги и медиумските здруженија редовно ги осудуваа ваквите инциденти. Во февруари 2023 година Собранието ги </w:t>
      </w:r>
      <w:r>
        <w:rPr>
          <w:rFonts w:ascii="Times New Roman" w:hAnsi="Times New Roman"/>
          <w:color w:val="000000"/>
          <w:sz w:val="24"/>
          <w:szCs w:val="24"/>
        </w:rPr>
        <w:t>донесе</w:t>
      </w:r>
      <w:r w:rsidRPr="005147EE">
        <w:rPr>
          <w:rFonts w:ascii="Times New Roman" w:hAnsi="Times New Roman"/>
          <w:color w:val="000000"/>
          <w:sz w:val="24"/>
          <w:szCs w:val="24"/>
        </w:rPr>
        <w:t xml:space="preserve"> измените на Кривичниот законик</w:t>
      </w:r>
      <w:r>
        <w:rPr>
          <w:rFonts w:ascii="Times New Roman" w:hAnsi="Times New Roman"/>
          <w:color w:val="000000"/>
          <w:sz w:val="24"/>
          <w:szCs w:val="24"/>
        </w:rPr>
        <w:t>,</w:t>
      </w:r>
      <w:r w:rsidRPr="005147EE">
        <w:rPr>
          <w:rFonts w:ascii="Times New Roman" w:hAnsi="Times New Roman"/>
          <w:color w:val="000000"/>
          <w:sz w:val="24"/>
          <w:szCs w:val="24"/>
        </w:rPr>
        <w:t xml:space="preserve"> со што се зголеми заштитата на новинарите при вршењето на нивните професионални должности. Јавното обвинителство Скопје назначи обвинител </w:t>
      </w:r>
      <w:r>
        <w:rPr>
          <w:rFonts w:ascii="Times New Roman" w:hAnsi="Times New Roman"/>
          <w:color w:val="000000"/>
          <w:sz w:val="24"/>
          <w:szCs w:val="24"/>
        </w:rPr>
        <w:t>што</w:t>
      </w:r>
      <w:r w:rsidRPr="005147EE">
        <w:rPr>
          <w:rFonts w:ascii="Times New Roman" w:hAnsi="Times New Roman"/>
          <w:color w:val="000000"/>
          <w:sz w:val="24"/>
          <w:szCs w:val="24"/>
        </w:rPr>
        <w:t xml:space="preserve"> ќе ги следи постапките што </w:t>
      </w:r>
      <w:r>
        <w:rPr>
          <w:rFonts w:ascii="Times New Roman" w:hAnsi="Times New Roman"/>
          <w:color w:val="000000"/>
          <w:sz w:val="24"/>
          <w:szCs w:val="24"/>
        </w:rPr>
        <w:t>следуваат</w:t>
      </w:r>
      <w:r w:rsidRPr="005147EE">
        <w:rPr>
          <w:rFonts w:ascii="Times New Roman" w:hAnsi="Times New Roman"/>
          <w:color w:val="000000"/>
          <w:sz w:val="24"/>
          <w:szCs w:val="24"/>
        </w:rPr>
        <w:t xml:space="preserve"> по нападите врз новинарите. Ова е позитивен развој на настаните. Назначениот јавен обвинител има овластување да ги следи постапките во кои новинарите се јавуваат како оштетени страни, сведоци или пријавени лица при вршење на својата работа. Министерството за внатрешни работи назначи лице за контакт во Секторот за компјутерски криминал и дигитална форензика, олеснувајќи им на новинарите да пријавуваат инциденти </w:t>
      </w:r>
      <w:r>
        <w:rPr>
          <w:rFonts w:ascii="Times New Roman" w:hAnsi="Times New Roman"/>
          <w:color w:val="000000"/>
          <w:sz w:val="24"/>
          <w:szCs w:val="24"/>
        </w:rPr>
        <w:t>што</w:t>
      </w:r>
      <w:r w:rsidRPr="005147EE">
        <w:rPr>
          <w:rFonts w:ascii="Times New Roman" w:hAnsi="Times New Roman"/>
          <w:color w:val="000000"/>
          <w:sz w:val="24"/>
          <w:szCs w:val="24"/>
        </w:rPr>
        <w:t xml:space="preserve"> вклучуваат сајбер</w:t>
      </w:r>
      <w:r w:rsidR="00652875">
        <w:rPr>
          <w:rFonts w:ascii="Times New Roman" w:hAnsi="Times New Roman"/>
          <w:color w:val="000000"/>
          <w:sz w:val="24"/>
          <w:szCs w:val="24"/>
        </w:rPr>
        <w:t xml:space="preserve"> </w:t>
      </w:r>
      <w:r w:rsidRPr="005147EE">
        <w:rPr>
          <w:rFonts w:ascii="Times New Roman" w:hAnsi="Times New Roman"/>
          <w:color w:val="000000"/>
          <w:sz w:val="24"/>
          <w:szCs w:val="24"/>
        </w:rPr>
        <w:t xml:space="preserve">насилство и други онлајн закани по нивната безбедност. Органите треба да обезбедат непристрасни, брзи и ефективни истраги за казнување на сторителите. Политичарите и службените лица во различни </w:t>
      </w:r>
      <w:r>
        <w:rPr>
          <w:rFonts w:ascii="Times New Roman" w:hAnsi="Times New Roman"/>
          <w:color w:val="000000"/>
          <w:sz w:val="24"/>
          <w:szCs w:val="24"/>
        </w:rPr>
        <w:t>околности</w:t>
      </w:r>
      <w:r w:rsidRPr="005147EE">
        <w:rPr>
          <w:rFonts w:ascii="Times New Roman" w:hAnsi="Times New Roman"/>
          <w:color w:val="000000"/>
          <w:sz w:val="24"/>
          <w:szCs w:val="24"/>
        </w:rPr>
        <w:t xml:space="preserve"> употребуваа неприфатлив јазик против новинарите. Онлајн вознемирувањето и вербалните напади продолжија, особено на социјалните мрежи, со зголемување на нападите врз жени новинари. Остануваат нерасчистени </w:t>
      </w:r>
      <w:r>
        <w:rPr>
          <w:rFonts w:ascii="Times New Roman" w:hAnsi="Times New Roman"/>
          <w:color w:val="000000"/>
          <w:sz w:val="24"/>
          <w:szCs w:val="24"/>
        </w:rPr>
        <w:t>с</w:t>
      </w:r>
      <w:r w:rsidRPr="005147EE">
        <w:rPr>
          <w:rFonts w:ascii="Times New Roman" w:hAnsi="Times New Roman"/>
          <w:color w:val="000000"/>
          <w:sz w:val="24"/>
          <w:szCs w:val="24"/>
        </w:rPr>
        <w:t>тари случаи на физички напади врз новинари.</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u w:val="single"/>
        </w:rPr>
        <w:t>Законодавна средина</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Законот за аудио и аудиовизуелни медиумски услуги е во голема мера усогласен со </w:t>
      </w:r>
      <w:r w:rsidRPr="005147EE">
        <w:rPr>
          <w:rFonts w:ascii="Times New Roman" w:hAnsi="Times New Roman"/>
          <w:i/>
          <w:iCs/>
          <w:color w:val="000000"/>
          <w:sz w:val="24"/>
          <w:szCs w:val="24"/>
        </w:rPr>
        <w:t>правото</w:t>
      </w:r>
      <w:r w:rsidRPr="005147EE">
        <w:rPr>
          <w:rFonts w:ascii="Times New Roman" w:hAnsi="Times New Roman"/>
          <w:color w:val="000000"/>
          <w:sz w:val="24"/>
          <w:szCs w:val="24"/>
        </w:rPr>
        <w:t xml:space="preserve"> на ЕУ, по законските измени од јули 2023 година. Понатаму, правната рамка што го опфаќа функционирањето на медиумите треба дополнително да се подобри, во согласност со </w:t>
      </w:r>
      <w:r w:rsidRPr="005147EE">
        <w:rPr>
          <w:rFonts w:ascii="Times New Roman" w:hAnsi="Times New Roman"/>
          <w:i/>
          <w:iCs/>
          <w:color w:val="000000"/>
          <w:sz w:val="24"/>
          <w:szCs w:val="24"/>
        </w:rPr>
        <w:t>правото</w:t>
      </w:r>
      <w:r w:rsidRPr="005147EE">
        <w:rPr>
          <w:rFonts w:ascii="Times New Roman" w:hAnsi="Times New Roman"/>
          <w:color w:val="000000"/>
          <w:sz w:val="24"/>
          <w:szCs w:val="24"/>
        </w:rPr>
        <w:t xml:space="preserve"> на ЕУ и </w:t>
      </w:r>
      <w:r>
        <w:rPr>
          <w:rFonts w:ascii="Times New Roman" w:hAnsi="Times New Roman"/>
          <w:color w:val="000000"/>
          <w:sz w:val="24"/>
          <w:szCs w:val="24"/>
        </w:rPr>
        <w:t xml:space="preserve">со </w:t>
      </w:r>
      <w:r w:rsidRPr="005147EE">
        <w:rPr>
          <w:rFonts w:ascii="Times New Roman" w:hAnsi="Times New Roman"/>
          <w:color w:val="000000"/>
          <w:sz w:val="24"/>
          <w:szCs w:val="24"/>
        </w:rPr>
        <w:t>меѓународните стандарди. По препораките на ОБСЕ/ОДИХР за изборната правна рамка допрва треба да се постапи. Загриженоста на медиумските здруженија за политичкото рекламирање во медиумите финансирано од државата</w:t>
      </w:r>
      <w:r>
        <w:rPr>
          <w:rFonts w:ascii="Times New Roman" w:hAnsi="Times New Roman"/>
          <w:color w:val="000000"/>
          <w:sz w:val="24"/>
          <w:szCs w:val="24"/>
        </w:rPr>
        <w:t>,</w:t>
      </w:r>
      <w:r w:rsidRPr="005147EE">
        <w:rPr>
          <w:rFonts w:ascii="Times New Roman" w:hAnsi="Times New Roman"/>
          <w:color w:val="000000"/>
          <w:sz w:val="24"/>
          <w:szCs w:val="24"/>
        </w:rPr>
        <w:t xml:space="preserve"> треба да се реши во согласност со </w:t>
      </w:r>
      <w:r w:rsidRPr="005147EE">
        <w:rPr>
          <w:rFonts w:ascii="Times New Roman" w:hAnsi="Times New Roman"/>
          <w:i/>
          <w:iCs/>
          <w:color w:val="000000"/>
          <w:sz w:val="24"/>
          <w:szCs w:val="24"/>
        </w:rPr>
        <w:t>правото</w:t>
      </w:r>
      <w:r w:rsidRPr="005147EE">
        <w:rPr>
          <w:rFonts w:ascii="Times New Roman" w:hAnsi="Times New Roman"/>
          <w:color w:val="000000"/>
          <w:sz w:val="24"/>
          <w:szCs w:val="24"/>
        </w:rPr>
        <w:t xml:space="preserve"> на ЕУ и </w:t>
      </w:r>
      <w:r>
        <w:rPr>
          <w:rFonts w:ascii="Times New Roman" w:hAnsi="Times New Roman"/>
          <w:color w:val="000000"/>
          <w:sz w:val="24"/>
          <w:szCs w:val="24"/>
        </w:rPr>
        <w:t xml:space="preserve">со </w:t>
      </w:r>
      <w:r w:rsidRPr="005147EE">
        <w:rPr>
          <w:rFonts w:ascii="Times New Roman" w:hAnsi="Times New Roman"/>
          <w:color w:val="000000"/>
          <w:sz w:val="24"/>
          <w:szCs w:val="24"/>
        </w:rPr>
        <w:t>најдобрите европски практики.</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Во ноември 2022 година група пратеници предложија измени на Законот за аудио и аудиовизуелни медиумски услуги</w:t>
      </w:r>
      <w:r>
        <w:rPr>
          <w:rFonts w:ascii="Times New Roman" w:hAnsi="Times New Roman"/>
          <w:color w:val="000000"/>
          <w:sz w:val="24"/>
          <w:szCs w:val="24"/>
        </w:rPr>
        <w:t>,</w:t>
      </w:r>
      <w:r w:rsidRPr="005147EE">
        <w:rPr>
          <w:rFonts w:ascii="Times New Roman" w:hAnsi="Times New Roman"/>
          <w:color w:val="000000"/>
          <w:sz w:val="24"/>
          <w:szCs w:val="24"/>
        </w:rPr>
        <w:t xml:space="preserve"> кои </w:t>
      </w:r>
      <w:r>
        <w:rPr>
          <w:rFonts w:ascii="Times New Roman" w:hAnsi="Times New Roman"/>
          <w:color w:val="000000"/>
          <w:sz w:val="24"/>
          <w:szCs w:val="24"/>
        </w:rPr>
        <w:t xml:space="preserve">им </w:t>
      </w:r>
      <w:r w:rsidRPr="005147EE">
        <w:rPr>
          <w:rFonts w:ascii="Times New Roman" w:hAnsi="Times New Roman"/>
          <w:color w:val="000000"/>
          <w:sz w:val="24"/>
          <w:szCs w:val="24"/>
        </w:rPr>
        <w:t xml:space="preserve">наметнуваат должност на </w:t>
      </w:r>
      <w:r>
        <w:rPr>
          <w:rFonts w:ascii="Times New Roman" w:hAnsi="Times New Roman"/>
          <w:color w:val="000000"/>
          <w:sz w:val="24"/>
          <w:szCs w:val="24"/>
        </w:rPr>
        <w:t>В</w:t>
      </w:r>
      <w:r w:rsidRPr="005147EE">
        <w:rPr>
          <w:rFonts w:ascii="Times New Roman" w:hAnsi="Times New Roman"/>
          <w:color w:val="000000"/>
          <w:sz w:val="24"/>
          <w:szCs w:val="24"/>
        </w:rPr>
        <w:t xml:space="preserve">ладата и </w:t>
      </w:r>
      <w:r>
        <w:rPr>
          <w:rFonts w:ascii="Times New Roman" w:hAnsi="Times New Roman"/>
          <w:color w:val="000000"/>
          <w:sz w:val="24"/>
          <w:szCs w:val="24"/>
        </w:rPr>
        <w:t xml:space="preserve">на </w:t>
      </w:r>
      <w:r w:rsidRPr="005147EE">
        <w:rPr>
          <w:rFonts w:ascii="Times New Roman" w:hAnsi="Times New Roman"/>
          <w:color w:val="000000"/>
          <w:sz w:val="24"/>
          <w:szCs w:val="24"/>
        </w:rPr>
        <w:t xml:space="preserve">локалните власти да организираат и </w:t>
      </w:r>
      <w:r>
        <w:rPr>
          <w:rFonts w:ascii="Times New Roman" w:hAnsi="Times New Roman"/>
          <w:color w:val="000000"/>
          <w:sz w:val="24"/>
          <w:szCs w:val="24"/>
        </w:rPr>
        <w:t xml:space="preserve">да </w:t>
      </w:r>
      <w:r w:rsidRPr="005147EE">
        <w:rPr>
          <w:rFonts w:ascii="Times New Roman" w:hAnsi="Times New Roman"/>
          <w:color w:val="000000"/>
          <w:sz w:val="24"/>
          <w:szCs w:val="24"/>
        </w:rPr>
        <w:t>финансираат кампањи од јавен интерес. Сепак, медиумскиот регулатор и одредени здруженија на новинари ги критикуваа предлозите, нагласувајќи дека тие можат да ја поткопаат независноста на медиумите и да го нарушат медиумскиот пазар. Потребни се поодржливи решенија за поддршка на медиумската одржливост.</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Во 2022 година </w:t>
      </w:r>
      <w:r>
        <w:rPr>
          <w:rFonts w:ascii="Times New Roman" w:hAnsi="Times New Roman"/>
          <w:color w:val="000000"/>
          <w:sz w:val="24"/>
          <w:szCs w:val="24"/>
        </w:rPr>
        <w:t>В</w:t>
      </w:r>
      <w:r w:rsidRPr="005147EE">
        <w:rPr>
          <w:rFonts w:ascii="Times New Roman" w:hAnsi="Times New Roman"/>
          <w:color w:val="000000"/>
          <w:sz w:val="24"/>
          <w:szCs w:val="24"/>
        </w:rPr>
        <w:t xml:space="preserve">ладата продолжи да ги намалува финансиските средства за радиодифузниот сектор. Собранието повторно не успеа да именува нови членови на Програмскиот совет на јавниот радиодифузен сервис и на Советот на </w:t>
      </w:r>
      <w:r>
        <w:rPr>
          <w:rFonts w:ascii="Times New Roman" w:hAnsi="Times New Roman"/>
          <w:color w:val="000000"/>
          <w:sz w:val="24"/>
          <w:szCs w:val="24"/>
        </w:rPr>
        <w:t>регулаторот за медиуми</w:t>
      </w:r>
      <w:r w:rsidRPr="005147EE">
        <w:rPr>
          <w:rFonts w:ascii="Times New Roman" w:hAnsi="Times New Roman"/>
          <w:color w:val="000000"/>
          <w:sz w:val="24"/>
          <w:szCs w:val="24"/>
        </w:rPr>
        <w:t xml:space="preserve">. Мандатот на досегашните членови на двата совети беше продолжен </w:t>
      </w:r>
      <w:r>
        <w:rPr>
          <w:rFonts w:ascii="Times New Roman" w:hAnsi="Times New Roman"/>
          <w:color w:val="000000"/>
          <w:sz w:val="24"/>
          <w:szCs w:val="24"/>
        </w:rPr>
        <w:t>с</w:t>
      </w:r>
      <w:r w:rsidRPr="009768C4">
        <w:rPr>
          <w:rFonts w:ascii="Times New Roman" w:hAnsi="Times New Roman"/>
          <w:color w:val="000000"/>
          <w:sz w:val="24"/>
          <w:szCs w:val="24"/>
          <w:lang w:val="ru-RU"/>
        </w:rPr>
        <w:t>è</w:t>
      </w:r>
      <w:r w:rsidRPr="005147EE">
        <w:rPr>
          <w:rFonts w:ascii="Times New Roman" w:hAnsi="Times New Roman"/>
          <w:color w:val="000000"/>
          <w:sz w:val="24"/>
          <w:szCs w:val="24"/>
        </w:rPr>
        <w:t xml:space="preserve"> додека Собранието не именува нови членови.</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u w:val="single"/>
        </w:rPr>
        <w:t>Спроведување на законодавството/институции</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Во 2022 година медиумскиот регулатор продолжи да ја извршува својата надзорна улога над различни форми на медиуми и над недозволената медиумска концентрација и сопственост. Регулаторот продолжи да работи со ГО и </w:t>
      </w:r>
      <w:r>
        <w:rPr>
          <w:rFonts w:ascii="Times New Roman" w:hAnsi="Times New Roman"/>
          <w:color w:val="000000"/>
          <w:sz w:val="24"/>
          <w:szCs w:val="24"/>
        </w:rPr>
        <w:t xml:space="preserve">со </w:t>
      </w:r>
      <w:r w:rsidRPr="005147EE">
        <w:rPr>
          <w:rFonts w:ascii="Times New Roman" w:hAnsi="Times New Roman"/>
          <w:color w:val="000000"/>
          <w:sz w:val="24"/>
          <w:szCs w:val="24"/>
        </w:rPr>
        <w:t xml:space="preserve">медиумските куќи за унапредување на медиумската писменост и </w:t>
      </w:r>
      <w:r>
        <w:rPr>
          <w:rFonts w:ascii="Times New Roman" w:hAnsi="Times New Roman"/>
          <w:color w:val="000000"/>
          <w:sz w:val="24"/>
          <w:szCs w:val="24"/>
        </w:rPr>
        <w:t xml:space="preserve">на </w:t>
      </w:r>
      <w:r w:rsidRPr="005147EE">
        <w:rPr>
          <w:rFonts w:ascii="Times New Roman" w:hAnsi="Times New Roman"/>
          <w:color w:val="000000"/>
          <w:sz w:val="24"/>
          <w:szCs w:val="24"/>
        </w:rPr>
        <w:t xml:space="preserve">темите на човекови права, </w:t>
      </w:r>
      <w:r>
        <w:rPr>
          <w:rFonts w:ascii="Times New Roman" w:hAnsi="Times New Roman"/>
          <w:color w:val="000000"/>
          <w:sz w:val="24"/>
          <w:szCs w:val="24"/>
        </w:rPr>
        <w:t>какви</w:t>
      </w:r>
      <w:r w:rsidRPr="005147EE">
        <w:rPr>
          <w:rFonts w:ascii="Times New Roman" w:hAnsi="Times New Roman"/>
          <w:color w:val="000000"/>
          <w:sz w:val="24"/>
          <w:szCs w:val="24"/>
        </w:rPr>
        <w:t xml:space="preserve"> што се родовата еднаквост и почитувањето на правата на лицата со попреченост од страна на радиодифузерите.</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Финансиската стабилност и независноста на медиумскиот регулатор треба да се зајакнат. Ова стана уште поважно бидејќи регулаторот доби дополнителни задачи по усогласувањето на националното законодавство со Директивата на ЕУ за аудиовизуелни медиумски услуги.</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Во 2022 година Советот за етика во медиумите прими 78 претставки за повреда на етичките стандарди. Најчестата повреда, во 49,37</w:t>
      </w:r>
      <w:r>
        <w:rPr>
          <w:rFonts w:ascii="Times New Roman" w:hAnsi="Times New Roman"/>
          <w:color w:val="000000"/>
          <w:sz w:val="24"/>
          <w:szCs w:val="24"/>
        </w:rPr>
        <w:t xml:space="preserve"> </w:t>
      </w:r>
      <w:r w:rsidRPr="005147EE">
        <w:rPr>
          <w:rFonts w:ascii="Times New Roman" w:hAnsi="Times New Roman"/>
          <w:color w:val="000000"/>
          <w:sz w:val="24"/>
          <w:szCs w:val="24"/>
        </w:rPr>
        <w:t xml:space="preserve">% од случаите, се однесува на прекршување на законската одредба дека </w:t>
      </w:r>
      <w:r w:rsidRPr="005147EE">
        <w:rPr>
          <w:rFonts w:ascii="Times New Roman" w:hAnsi="Times New Roman"/>
          <w:i/>
          <w:iCs/>
          <w:color w:val="000000"/>
          <w:sz w:val="24"/>
          <w:szCs w:val="24"/>
        </w:rPr>
        <w:t>„новинарот треба да објавува точни и проверени информации“</w:t>
      </w:r>
      <w:r w:rsidRPr="005147EE">
        <w:rPr>
          <w:rFonts w:ascii="Times New Roman" w:hAnsi="Times New Roman"/>
          <w:color w:val="000000"/>
          <w:sz w:val="24"/>
          <w:szCs w:val="24"/>
        </w:rPr>
        <w:t xml:space="preserve">. Иако говорот на омраза е забранет и на интернет и надвор од него, продолжува да постои на интернет. Во 2022 година Здружението на новинари изрази особена загриженост за говорот на омраза и </w:t>
      </w:r>
      <w:r>
        <w:rPr>
          <w:rFonts w:ascii="Times New Roman" w:hAnsi="Times New Roman"/>
          <w:color w:val="000000"/>
          <w:sz w:val="24"/>
          <w:szCs w:val="24"/>
        </w:rPr>
        <w:t xml:space="preserve">за </w:t>
      </w:r>
      <w:r w:rsidRPr="005147EE">
        <w:rPr>
          <w:rFonts w:ascii="Times New Roman" w:hAnsi="Times New Roman"/>
          <w:color w:val="000000"/>
          <w:sz w:val="24"/>
          <w:szCs w:val="24"/>
        </w:rPr>
        <w:t xml:space="preserve">навредите </w:t>
      </w:r>
      <w:r>
        <w:rPr>
          <w:rFonts w:ascii="Times New Roman" w:hAnsi="Times New Roman"/>
          <w:color w:val="000000"/>
          <w:sz w:val="24"/>
          <w:szCs w:val="24"/>
        </w:rPr>
        <w:t xml:space="preserve">што </w:t>
      </w:r>
      <w:r w:rsidRPr="005147EE">
        <w:rPr>
          <w:rFonts w:ascii="Times New Roman" w:hAnsi="Times New Roman"/>
          <w:color w:val="000000"/>
          <w:sz w:val="24"/>
          <w:szCs w:val="24"/>
        </w:rPr>
        <w:t xml:space="preserve">политичарите и други носители на јавни функции </w:t>
      </w:r>
      <w:r>
        <w:rPr>
          <w:rFonts w:ascii="Times New Roman" w:hAnsi="Times New Roman"/>
          <w:color w:val="000000"/>
          <w:sz w:val="24"/>
          <w:szCs w:val="24"/>
        </w:rPr>
        <w:t>ги упатиле</w:t>
      </w:r>
      <w:r w:rsidRPr="005147EE">
        <w:rPr>
          <w:rFonts w:ascii="Times New Roman" w:hAnsi="Times New Roman"/>
          <w:color w:val="000000"/>
          <w:sz w:val="24"/>
          <w:szCs w:val="24"/>
        </w:rPr>
        <w:t xml:space="preserve"> кон новинарите и </w:t>
      </w:r>
      <w:r>
        <w:rPr>
          <w:rFonts w:ascii="Times New Roman" w:hAnsi="Times New Roman"/>
          <w:color w:val="000000"/>
          <w:sz w:val="24"/>
          <w:szCs w:val="24"/>
        </w:rPr>
        <w:t xml:space="preserve">кон </w:t>
      </w:r>
      <w:r w:rsidRPr="005147EE">
        <w:rPr>
          <w:rFonts w:ascii="Times New Roman" w:hAnsi="Times New Roman"/>
          <w:color w:val="000000"/>
          <w:sz w:val="24"/>
          <w:szCs w:val="24"/>
        </w:rPr>
        <w:t xml:space="preserve">медиумските работници. Бројот на тужби за клевета и навреда </w:t>
      </w:r>
      <w:r>
        <w:rPr>
          <w:rFonts w:ascii="Times New Roman" w:hAnsi="Times New Roman"/>
          <w:color w:val="000000"/>
          <w:sz w:val="24"/>
          <w:szCs w:val="24"/>
        </w:rPr>
        <w:t>што</w:t>
      </w:r>
      <w:r w:rsidRPr="005147EE">
        <w:rPr>
          <w:rFonts w:ascii="Times New Roman" w:hAnsi="Times New Roman"/>
          <w:color w:val="000000"/>
          <w:sz w:val="24"/>
          <w:szCs w:val="24"/>
        </w:rPr>
        <w:t xml:space="preserve"> вклучуваат новинари е двојно зголемен од минатата година: 54 случаи во 2022 година наспроти 20 во 2021 година.</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u w:val="single"/>
        </w:rPr>
        <w:t>Јавен радиодифузен сервис</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Реформата на јавниот радиодифузен сервис дополнително беше одложена. И покрај Законот за аудио и аудиовизуелни медиумски услуги од 2021 година, во 2022 година органите уште еднаш ги искористија дискреционите овластувања дадени со закон за да го намалат финансирањето на радиодифузниот сектор. Буџетските флуктуации создаваат несигурност во планирањето. Органите треба да обезбедат доволно и стабилно финансирање за јавниот радиодифузен сервис. Не е пронајдено решение за подмирување на старите долгови на јавниот радиодифузен сервис кон државните институции. Потребни се натамошни напори за да се обезбеди независност и одржливост на јавниот радиодифузен сервис, како финансиски така и законски.</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u w:val="single"/>
        </w:rPr>
        <w:t>Економски фактори</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Пандемијата на КОВИД-19, руската агресија против Украина и глобалните економски и енергетски кризи создадоа дополнителни притисоци врз медиумската индустрија. Органите ги поддржаа медиумите со низа економски мерки, вклучително и намалување на таксата за радиодифузна дозвола за радио и телевизија за 2023 година. Медиумските здруженија продолжија да изразуваат загриженост за медиумскиот интегритет и уредувачката независност и укажаа на потребата од процена на влијанието на концентрацијата на сопственоста врз медиумскиот плурализам и уредувачката независност. Тие, исто така, укажаа на ризикот поединци или група сопственици на медиуми да имаат прекумерно влијание врз медиумските куќи. Потребна е натамошна поддршка за развој на професионалното и истражувачкото новинарство. Независноста на медиумите треба дополнително да се заштити.</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Во ноември 2022 година група пратеници предложија измени на Законот за аудио и аудиовизуелни медиумски услуги за укинување на забраната за владино рекламирање на комерцијалните канали. Одредени медиумски здруженија се спротивставуваат на ова, стравувајќи дека тоа може да ја поткопа независноста на медиумите и да го наруши медиумскиот пазар. </w:t>
      </w:r>
      <w:r w:rsidRPr="005147EE">
        <w:rPr>
          <w:rFonts w:ascii="Times New Roman" w:hAnsi="Times New Roman"/>
          <w:sz w:val="24"/>
          <w:szCs w:val="24"/>
        </w:rPr>
        <w:t xml:space="preserve">Медиумските здруженија продолжија да изразуваат загриженост за законските одредби </w:t>
      </w:r>
      <w:r>
        <w:rPr>
          <w:rFonts w:ascii="Times New Roman" w:hAnsi="Times New Roman"/>
          <w:sz w:val="24"/>
          <w:szCs w:val="24"/>
        </w:rPr>
        <w:t>што</w:t>
      </w:r>
      <w:r w:rsidRPr="005147EE">
        <w:rPr>
          <w:rFonts w:ascii="Times New Roman" w:hAnsi="Times New Roman"/>
          <w:sz w:val="24"/>
          <w:szCs w:val="24"/>
        </w:rPr>
        <w:t xml:space="preserve"> им овозможуваат на политичките партии да користат државно финансирање за рекламирање во медиумите и поради недостигот на транспарентност на партиско-политичкото рекламирање општо, а особено на онлајн медиумските платформи.</w:t>
      </w:r>
      <w:r w:rsidRPr="005147EE">
        <w:rPr>
          <w:rFonts w:ascii="Times New Roman" w:hAnsi="Times New Roman"/>
          <w:color w:val="000000"/>
          <w:sz w:val="24"/>
          <w:szCs w:val="24"/>
        </w:rPr>
        <w:t xml:space="preserve"> Во 2022 година постојат пет дневни весници, вклучувајќи и два на албански јазик. </w:t>
      </w:r>
      <w:r w:rsidR="006143CA">
        <w:rPr>
          <w:rFonts w:ascii="Times New Roman" w:hAnsi="Times New Roman"/>
          <w:color w:val="000000"/>
          <w:sz w:val="24"/>
          <w:szCs w:val="24"/>
        </w:rPr>
        <w:t>Органите</w:t>
      </w:r>
      <w:r w:rsidR="006143CA" w:rsidRPr="005147EE">
        <w:rPr>
          <w:rFonts w:ascii="Times New Roman" w:hAnsi="Times New Roman"/>
          <w:color w:val="000000"/>
          <w:sz w:val="24"/>
          <w:szCs w:val="24"/>
        </w:rPr>
        <w:t xml:space="preserve"> </w:t>
      </w:r>
      <w:r w:rsidRPr="005147EE">
        <w:rPr>
          <w:rFonts w:ascii="Times New Roman" w:hAnsi="Times New Roman"/>
          <w:color w:val="000000"/>
          <w:sz w:val="24"/>
          <w:szCs w:val="24"/>
        </w:rPr>
        <w:t>продолжија да ги поддржуваат печатените медиуми со доделување финансиски средства во износ малку повисок од 300</w:t>
      </w:r>
      <w:r>
        <w:rPr>
          <w:rFonts w:ascii="Times New Roman" w:hAnsi="Times New Roman"/>
          <w:color w:val="000000"/>
          <w:sz w:val="24"/>
          <w:szCs w:val="24"/>
        </w:rPr>
        <w:t>.</w:t>
      </w:r>
      <w:r w:rsidRPr="005147EE">
        <w:rPr>
          <w:rFonts w:ascii="Times New Roman" w:hAnsi="Times New Roman"/>
          <w:color w:val="000000"/>
          <w:sz w:val="24"/>
          <w:szCs w:val="24"/>
        </w:rPr>
        <w:t>000 евра.</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Според</w:t>
      </w:r>
      <w:r w:rsidRPr="005147EE">
        <w:rPr>
          <w:rFonts w:ascii="Times New Roman" w:hAnsi="Times New Roman"/>
          <w:color w:val="000000"/>
          <w:sz w:val="24"/>
          <w:szCs w:val="24"/>
        </w:rPr>
        <w:t xml:space="preserve"> законските обврски, медиумскиот регулатор објавува регистар на радиодифузни и печатени медиуми, вклучувајќи информации за бројот на вработени и видот на вработувањето. Бројот на онлајн медиуми се проценува меѓу 150 и 200.</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u w:val="single"/>
        </w:rPr>
        <w:t>Интернет</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Онлајн медиумите не се уредени со посебен закон. Има промена на пазарот за рекламирање во насока на дигиталното рекламирање, со растечки закани од дезинформации, прекршување на интелектуалните права и недостаток на транспарентност во однос на платеното политичко рекламирање. Одредени онлајн медиумски куќи се предмет на влијание од политички фигури. Политичките партии не се обврзани да ги обелоденат своите трошоци за кампањи на социјалните мрежи. Постои несоодветен надзор во однос на користењето на личните податоци за цели на изборната кампања.</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Треба да се подобрат разбирањето на јавноста за ризиците од дезинформации и вештините за медиумска писменост во општеството. Сегашните мерки за борба против дезинформации не се многу ефикасни.</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Потребна е посилна саморегулација за онлајн медиумите, особено преку унапредување на регистарот на онлајн медиуми (promedia.mk) и развој на професионални стандарди за онлајн новинарство. Во однос на пристапот до информации, Агенцијата за заштита на правото на слободен пристап до информации од јавен карактер примила 343 поплаки, од кои 195 </w:t>
      </w:r>
      <w:r>
        <w:rPr>
          <w:rFonts w:ascii="Times New Roman" w:hAnsi="Times New Roman"/>
          <w:color w:val="000000"/>
          <w:sz w:val="24"/>
          <w:szCs w:val="24"/>
        </w:rPr>
        <w:t xml:space="preserve">се </w:t>
      </w:r>
      <w:r w:rsidRPr="005147EE">
        <w:rPr>
          <w:rFonts w:ascii="Times New Roman" w:hAnsi="Times New Roman"/>
          <w:color w:val="000000"/>
          <w:sz w:val="24"/>
          <w:szCs w:val="24"/>
        </w:rPr>
        <w:t>претежно од ГО, додека 148 поплаки се поднесени од физички лица.</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u w:val="single"/>
        </w:rPr>
        <w:t>Слобода на уметничко изразување</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Слободата на уметничко изразување е </w:t>
      </w:r>
      <w:r>
        <w:rPr>
          <w:rFonts w:ascii="Times New Roman" w:hAnsi="Times New Roman"/>
          <w:color w:val="000000"/>
          <w:sz w:val="24"/>
          <w:szCs w:val="24"/>
        </w:rPr>
        <w:t xml:space="preserve">во </w:t>
      </w:r>
      <w:r w:rsidRPr="005147EE">
        <w:rPr>
          <w:rFonts w:ascii="Times New Roman" w:hAnsi="Times New Roman"/>
          <w:color w:val="000000"/>
          <w:sz w:val="24"/>
          <w:szCs w:val="24"/>
        </w:rPr>
        <w:t>голема мера загарантирана.</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u w:val="single"/>
        </w:rPr>
        <w:t>Професионални организации и услови за работа</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Во 2022 година Самостојниот синдикат на новинари и медиумски работници евидентираше различни прекршувања на работничките права, а особено големиот број краткорочни договори или договори со скратено работно време без здравствено и социјално осигурување, без право на годишен одмор, неплатена прекувремена работа и задолжителни ноќни смени. Дијалогот со </w:t>
      </w:r>
      <w:r>
        <w:rPr>
          <w:rFonts w:ascii="Times New Roman" w:hAnsi="Times New Roman"/>
          <w:color w:val="000000"/>
          <w:sz w:val="24"/>
          <w:szCs w:val="24"/>
        </w:rPr>
        <w:t>В</w:t>
      </w:r>
      <w:r w:rsidRPr="005147EE">
        <w:rPr>
          <w:rFonts w:ascii="Times New Roman" w:hAnsi="Times New Roman"/>
          <w:color w:val="000000"/>
          <w:sz w:val="24"/>
          <w:szCs w:val="24"/>
        </w:rPr>
        <w:t xml:space="preserve">ладата треба да се подобри. Застапувањето насочено кон подобрување на условите за работа во медиумите е попречено од економските предизвици во секторот и противењето на синдикалното организирање на новинарите. Потребни се дополнителни напори за заштита на професионалните и </w:t>
      </w:r>
      <w:r>
        <w:rPr>
          <w:rFonts w:ascii="Times New Roman" w:hAnsi="Times New Roman"/>
          <w:color w:val="000000"/>
          <w:sz w:val="24"/>
          <w:szCs w:val="24"/>
        </w:rPr>
        <w:t xml:space="preserve">на </w:t>
      </w:r>
      <w:r w:rsidRPr="005147EE">
        <w:rPr>
          <w:rFonts w:ascii="Times New Roman" w:hAnsi="Times New Roman"/>
          <w:color w:val="000000"/>
          <w:sz w:val="24"/>
          <w:szCs w:val="24"/>
        </w:rPr>
        <w:t xml:space="preserve">работничките права, </w:t>
      </w:r>
      <w:r>
        <w:rPr>
          <w:rFonts w:ascii="Times New Roman" w:hAnsi="Times New Roman"/>
          <w:color w:val="000000"/>
          <w:sz w:val="24"/>
          <w:szCs w:val="24"/>
        </w:rPr>
        <w:t xml:space="preserve">на </w:t>
      </w:r>
      <w:r w:rsidRPr="005147EE">
        <w:rPr>
          <w:rFonts w:ascii="Times New Roman" w:hAnsi="Times New Roman"/>
          <w:color w:val="000000"/>
          <w:sz w:val="24"/>
          <w:szCs w:val="24"/>
        </w:rPr>
        <w:t xml:space="preserve">слободите и </w:t>
      </w:r>
      <w:r>
        <w:rPr>
          <w:rFonts w:ascii="Times New Roman" w:hAnsi="Times New Roman"/>
          <w:color w:val="000000"/>
          <w:sz w:val="24"/>
          <w:szCs w:val="24"/>
        </w:rPr>
        <w:t xml:space="preserve">на </w:t>
      </w:r>
      <w:r w:rsidRPr="005147EE">
        <w:rPr>
          <w:rFonts w:ascii="Times New Roman" w:hAnsi="Times New Roman"/>
          <w:color w:val="000000"/>
          <w:sz w:val="24"/>
          <w:szCs w:val="24"/>
        </w:rPr>
        <w:t xml:space="preserve">безбедноста на новинарите, особено преку зајакнување на правната рамка за работата на синдикатите. Многу новинари немаат друг избор освен да прифатат несигурни договорни услови. Заедно со тешките социо-економски услови во секторот, тоа придонесува за култура на самоцензура и создава можности за сопствениците на медиумите да влијаат </w:t>
      </w:r>
      <w:r>
        <w:rPr>
          <w:rFonts w:ascii="Times New Roman" w:hAnsi="Times New Roman"/>
          <w:color w:val="000000"/>
          <w:sz w:val="24"/>
          <w:szCs w:val="24"/>
        </w:rPr>
        <w:t>врз</w:t>
      </w:r>
      <w:r w:rsidRPr="005147EE">
        <w:rPr>
          <w:rFonts w:ascii="Times New Roman" w:hAnsi="Times New Roman"/>
          <w:color w:val="000000"/>
          <w:sz w:val="24"/>
          <w:szCs w:val="24"/>
        </w:rPr>
        <w:t xml:space="preserve"> уредувачката политика.</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Агенцијата за аудио и аудиовизуелни медиумски услуги лансираше нова специјализирана веб-страница за родова еднаквост и медиуми, чија цел е да служи како ресурсен центар за новинарите. Анализите покажаа дека во приватните медиуми има премалку жени на извршни позиции. Потребни се дополнителни мерки за унапредување на родовата еднаквост во медиумската индустрија.</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w:t>
      </w:r>
      <w:r w:rsidRPr="005147EE">
        <w:rPr>
          <w:rFonts w:ascii="Times New Roman" w:hAnsi="Times New Roman"/>
          <w:i/>
          <w:iCs/>
          <w:color w:val="000000"/>
          <w:sz w:val="24"/>
          <w:szCs w:val="24"/>
        </w:rPr>
        <w:t>Вид</w:t>
      </w:r>
      <w:r w:rsidR="00652875">
        <w:rPr>
          <w:rFonts w:ascii="Times New Roman" w:hAnsi="Times New Roman"/>
          <w:i/>
          <w:iCs/>
          <w:color w:val="000000"/>
          <w:sz w:val="24"/>
          <w:szCs w:val="24"/>
        </w:rPr>
        <w:t>ете</w:t>
      </w:r>
      <w:r w:rsidRPr="005147EE">
        <w:rPr>
          <w:rFonts w:ascii="Times New Roman" w:hAnsi="Times New Roman"/>
          <w:i/>
          <w:iCs/>
          <w:color w:val="000000"/>
          <w:sz w:val="24"/>
          <w:szCs w:val="24"/>
        </w:rPr>
        <w:t xml:space="preserve"> исто така Поглавје 10 – Дигитална трансформација и медиуми</w:t>
      </w:r>
      <w:r w:rsidRPr="005147EE">
        <w:rPr>
          <w:rFonts w:ascii="Times New Roman" w:hAnsi="Times New Roman"/>
          <w:color w:val="000000"/>
          <w:sz w:val="24"/>
          <w:szCs w:val="24"/>
        </w:rPr>
        <w:t>)</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Правото на </w:t>
      </w:r>
      <w:r w:rsidRPr="005147EE">
        <w:rPr>
          <w:rFonts w:ascii="Times New Roman" w:hAnsi="Times New Roman"/>
          <w:b/>
          <w:bCs/>
          <w:color w:val="000000"/>
          <w:sz w:val="24"/>
          <w:szCs w:val="24"/>
        </w:rPr>
        <w:t>слобода на собирање и здружување</w:t>
      </w:r>
      <w:r w:rsidRPr="005147EE">
        <w:rPr>
          <w:rFonts w:ascii="Times New Roman" w:hAnsi="Times New Roman"/>
          <w:color w:val="000000"/>
          <w:sz w:val="24"/>
          <w:szCs w:val="24"/>
        </w:rPr>
        <w:t xml:space="preserve"> е загарантирано со Уставот и </w:t>
      </w:r>
      <w:r>
        <w:rPr>
          <w:rFonts w:ascii="Times New Roman" w:hAnsi="Times New Roman"/>
          <w:color w:val="000000"/>
          <w:sz w:val="24"/>
          <w:szCs w:val="24"/>
        </w:rPr>
        <w:t>В</w:t>
      </w:r>
      <w:r w:rsidRPr="005147EE">
        <w:rPr>
          <w:rFonts w:ascii="Times New Roman" w:hAnsi="Times New Roman"/>
          <w:color w:val="000000"/>
          <w:sz w:val="24"/>
          <w:szCs w:val="24"/>
        </w:rPr>
        <w:t xml:space="preserve">ладата обезбедува темелно спроведување на законодавството. </w:t>
      </w:r>
      <w:r w:rsidRPr="005147EE">
        <w:rPr>
          <w:rFonts w:ascii="Times New Roman" w:hAnsi="Times New Roman"/>
          <w:sz w:val="24"/>
          <w:szCs w:val="24"/>
        </w:rPr>
        <w:t>Правната рамка на земјата е во голема мера усогласена со нејзините меѓународни обврски во однос на слободата на здружување.</w:t>
      </w:r>
      <w:r w:rsidRPr="005147EE">
        <w:rPr>
          <w:rFonts w:ascii="Times New Roman" w:hAnsi="Times New Roman"/>
          <w:color w:val="000000"/>
          <w:sz w:val="24"/>
          <w:szCs w:val="24"/>
        </w:rPr>
        <w:t xml:space="preserve"> Потребни се дополнителни напори за спроведување на пресудите на ЕСЧП </w:t>
      </w:r>
      <w:r>
        <w:rPr>
          <w:rFonts w:ascii="Times New Roman" w:hAnsi="Times New Roman"/>
          <w:color w:val="000000"/>
          <w:sz w:val="24"/>
          <w:szCs w:val="24"/>
        </w:rPr>
        <w:t>што</w:t>
      </w:r>
      <w:r w:rsidRPr="005147EE">
        <w:rPr>
          <w:rFonts w:ascii="Times New Roman" w:hAnsi="Times New Roman"/>
          <w:color w:val="000000"/>
          <w:sz w:val="24"/>
          <w:szCs w:val="24"/>
        </w:rPr>
        <w:t xml:space="preserve"> се однесуваат на регистрацијата на здруженијата.</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По измените на актуелниот Закон за здруженија и фондации, воведени во ноември 2022 година, Централниот регистар ја отфрли употребата на имињата „Иван Миха</w:t>
      </w:r>
      <w:r>
        <w:rPr>
          <w:rFonts w:ascii="Times New Roman" w:hAnsi="Times New Roman"/>
          <w:color w:val="000000"/>
          <w:sz w:val="24"/>
          <w:szCs w:val="24"/>
        </w:rPr>
        <w:t>ј</w:t>
      </w:r>
      <w:r w:rsidRPr="005147EE">
        <w:rPr>
          <w:rFonts w:ascii="Times New Roman" w:hAnsi="Times New Roman"/>
          <w:color w:val="000000"/>
          <w:sz w:val="24"/>
          <w:szCs w:val="24"/>
        </w:rPr>
        <w:t xml:space="preserve">лов“ и „Цар Борис Трети“, со што двете бугарски културни здруженија во Битола и </w:t>
      </w:r>
      <w:r>
        <w:rPr>
          <w:rFonts w:ascii="Times New Roman" w:hAnsi="Times New Roman"/>
          <w:color w:val="000000"/>
          <w:sz w:val="24"/>
          <w:szCs w:val="24"/>
        </w:rPr>
        <w:t xml:space="preserve">во </w:t>
      </w:r>
      <w:r w:rsidRPr="005147EE">
        <w:rPr>
          <w:rFonts w:ascii="Times New Roman" w:hAnsi="Times New Roman"/>
          <w:color w:val="000000"/>
          <w:sz w:val="24"/>
          <w:szCs w:val="24"/>
        </w:rPr>
        <w:t xml:space="preserve">Охрид беа отстранети од </w:t>
      </w:r>
      <w:r>
        <w:rPr>
          <w:rFonts w:ascii="Times New Roman" w:hAnsi="Times New Roman"/>
          <w:color w:val="000000"/>
          <w:sz w:val="24"/>
          <w:szCs w:val="24"/>
        </w:rPr>
        <w:t>списокот</w:t>
      </w:r>
      <w:r w:rsidRPr="005147EE">
        <w:rPr>
          <w:rFonts w:ascii="Times New Roman" w:hAnsi="Times New Roman"/>
          <w:color w:val="000000"/>
          <w:sz w:val="24"/>
          <w:szCs w:val="24"/>
        </w:rPr>
        <w:t xml:space="preserve"> на здруженија и фондации на кои им е дозволено законски да работат во земјата. Ова уследи по процената на Комисијата за употреба на имињата, која утврди дека именувањето на двата културни клуба по контроверзни историски личности</w:t>
      </w:r>
      <w:r>
        <w:rPr>
          <w:rFonts w:ascii="Times New Roman" w:hAnsi="Times New Roman"/>
          <w:color w:val="000000"/>
          <w:sz w:val="24"/>
          <w:szCs w:val="24"/>
        </w:rPr>
        <w:t>,</w:t>
      </w:r>
      <w:r w:rsidRPr="005147EE">
        <w:rPr>
          <w:rFonts w:ascii="Times New Roman" w:hAnsi="Times New Roman"/>
          <w:color w:val="000000"/>
          <w:sz w:val="24"/>
          <w:szCs w:val="24"/>
        </w:rPr>
        <w:t xml:space="preserve"> предизвикало реакција во општеството. Изготвувањето на новото законодавство за здруженија и фондации треба да биде предмет на широк консултативен процес со граѓанското општество и </w:t>
      </w:r>
      <w:r>
        <w:rPr>
          <w:rFonts w:ascii="Times New Roman" w:hAnsi="Times New Roman"/>
          <w:color w:val="000000"/>
          <w:sz w:val="24"/>
          <w:szCs w:val="24"/>
        </w:rPr>
        <w:t xml:space="preserve">со </w:t>
      </w:r>
      <w:r w:rsidRPr="005147EE">
        <w:rPr>
          <w:rFonts w:ascii="Times New Roman" w:hAnsi="Times New Roman"/>
          <w:color w:val="000000"/>
          <w:sz w:val="24"/>
          <w:szCs w:val="24"/>
        </w:rPr>
        <w:t>заинтересираните страни. Законот треба да има за цел да ги примени највисоките меѓународни стандарди и насоки во оваа област, вклучително и преку консултирање на Венецијанската комисија пред донесувањето на законот, во согласност со препораката на Европската комисија против расизам и нетолеранција (ЕКРИ).</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Прашањата во областа на </w:t>
      </w:r>
      <w:r w:rsidRPr="005147EE">
        <w:rPr>
          <w:rFonts w:ascii="Times New Roman" w:hAnsi="Times New Roman"/>
          <w:b/>
          <w:bCs/>
          <w:color w:val="000000"/>
          <w:sz w:val="24"/>
          <w:szCs w:val="24"/>
        </w:rPr>
        <w:t>работничките права и правата на синдикално организирање</w:t>
      </w:r>
      <w:r w:rsidRPr="005147EE">
        <w:rPr>
          <w:rFonts w:ascii="Times New Roman" w:hAnsi="Times New Roman"/>
          <w:color w:val="000000"/>
          <w:sz w:val="24"/>
          <w:szCs w:val="24"/>
        </w:rPr>
        <w:t xml:space="preserve"> се опфатени во </w:t>
      </w:r>
      <w:r w:rsidRPr="005147EE">
        <w:rPr>
          <w:rFonts w:ascii="Times New Roman" w:hAnsi="Times New Roman"/>
          <w:i/>
          <w:iCs/>
          <w:color w:val="000000"/>
          <w:sz w:val="24"/>
          <w:szCs w:val="24"/>
        </w:rPr>
        <w:t>Поглавје 19 – Социјална политика и вработување.</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Не е постигнат значителен напредок во однос на </w:t>
      </w:r>
      <w:r w:rsidRPr="005147EE">
        <w:rPr>
          <w:rFonts w:ascii="Times New Roman" w:hAnsi="Times New Roman"/>
          <w:b/>
          <w:bCs/>
          <w:color w:val="000000"/>
          <w:sz w:val="24"/>
          <w:szCs w:val="24"/>
        </w:rPr>
        <w:t>правата на сопственост</w:t>
      </w:r>
      <w:r w:rsidRPr="005147EE">
        <w:rPr>
          <w:rFonts w:ascii="Times New Roman" w:hAnsi="Times New Roman"/>
          <w:color w:val="000000"/>
          <w:sz w:val="24"/>
          <w:szCs w:val="24"/>
        </w:rPr>
        <w:t xml:space="preserve">. Постапките и понатаму се долги и скапи, поради тоа што не постои ефикасна централна институција и поради </w:t>
      </w:r>
      <w:r>
        <w:rPr>
          <w:rFonts w:ascii="Times New Roman" w:hAnsi="Times New Roman"/>
          <w:color w:val="000000"/>
          <w:sz w:val="24"/>
          <w:szCs w:val="24"/>
        </w:rPr>
        <w:t xml:space="preserve">недостигот </w:t>
      </w:r>
      <w:r w:rsidRPr="005147EE">
        <w:rPr>
          <w:rFonts w:ascii="Times New Roman" w:hAnsi="Times New Roman"/>
          <w:color w:val="000000"/>
          <w:sz w:val="24"/>
          <w:szCs w:val="24"/>
        </w:rPr>
        <w:t xml:space="preserve">на координација меѓу институциите </w:t>
      </w:r>
      <w:r>
        <w:rPr>
          <w:rFonts w:ascii="Times New Roman" w:hAnsi="Times New Roman"/>
          <w:color w:val="000000"/>
          <w:sz w:val="24"/>
          <w:szCs w:val="24"/>
        </w:rPr>
        <w:t>што</w:t>
      </w:r>
      <w:r w:rsidRPr="005147EE">
        <w:rPr>
          <w:rFonts w:ascii="Times New Roman" w:hAnsi="Times New Roman"/>
          <w:color w:val="000000"/>
          <w:sz w:val="24"/>
          <w:szCs w:val="24"/>
        </w:rPr>
        <w:t xml:space="preserve"> се занимаваат со овие права. Нема напредок во однос на националната стратегија за правата на сопственост. На општинско ниво, имотните регистри не се ажурираат редовно и </w:t>
      </w:r>
      <w:r>
        <w:rPr>
          <w:rFonts w:ascii="Times New Roman" w:hAnsi="Times New Roman"/>
          <w:color w:val="000000"/>
          <w:sz w:val="24"/>
          <w:szCs w:val="24"/>
        </w:rPr>
        <w:t>с</w:t>
      </w:r>
      <w:r w:rsidRPr="009768C4">
        <w:rPr>
          <w:rFonts w:ascii="Times New Roman" w:hAnsi="Times New Roman"/>
          <w:color w:val="000000"/>
          <w:sz w:val="24"/>
          <w:szCs w:val="24"/>
          <w:lang w:val="ru-RU"/>
        </w:rPr>
        <w:t>è</w:t>
      </w:r>
      <w:r w:rsidRPr="005147EE">
        <w:rPr>
          <w:rFonts w:ascii="Times New Roman" w:hAnsi="Times New Roman"/>
          <w:color w:val="000000"/>
          <w:sz w:val="24"/>
          <w:szCs w:val="24"/>
        </w:rPr>
        <w:t xml:space="preserve"> уште се чуваат во аналогна форма. Агенцијата за катастар на недвижности одржува задоволувачка стапка од над 90</w:t>
      </w:r>
      <w:r>
        <w:rPr>
          <w:rFonts w:ascii="Times New Roman" w:hAnsi="Times New Roman"/>
          <w:color w:val="000000"/>
          <w:sz w:val="24"/>
          <w:szCs w:val="24"/>
        </w:rPr>
        <w:t xml:space="preserve"> </w:t>
      </w:r>
      <w:r w:rsidRPr="005147EE">
        <w:rPr>
          <w:rFonts w:ascii="Times New Roman" w:hAnsi="Times New Roman"/>
          <w:color w:val="000000"/>
          <w:sz w:val="24"/>
          <w:szCs w:val="24"/>
        </w:rPr>
        <w:t xml:space="preserve">% решени предмети. Завршено е евидентирањето на земјиштето и </w:t>
      </w:r>
      <w:r>
        <w:rPr>
          <w:rFonts w:ascii="Times New Roman" w:hAnsi="Times New Roman"/>
          <w:color w:val="000000"/>
          <w:sz w:val="24"/>
          <w:szCs w:val="24"/>
        </w:rPr>
        <w:t xml:space="preserve">на </w:t>
      </w:r>
      <w:r w:rsidRPr="005147EE">
        <w:rPr>
          <w:rFonts w:ascii="Times New Roman" w:hAnsi="Times New Roman"/>
          <w:color w:val="000000"/>
          <w:sz w:val="24"/>
          <w:szCs w:val="24"/>
        </w:rPr>
        <w:t xml:space="preserve">имотите, а ласерското скенирање ја опфати целата земја. Органите што управуваат со процесите за поврат, </w:t>
      </w:r>
      <w:r>
        <w:rPr>
          <w:rFonts w:ascii="Times New Roman" w:hAnsi="Times New Roman"/>
          <w:color w:val="000000"/>
          <w:sz w:val="24"/>
          <w:szCs w:val="24"/>
        </w:rPr>
        <w:t>надоместок</w:t>
      </w:r>
      <w:r w:rsidRPr="005147EE">
        <w:rPr>
          <w:rFonts w:ascii="Times New Roman" w:hAnsi="Times New Roman"/>
          <w:color w:val="000000"/>
          <w:sz w:val="24"/>
          <w:szCs w:val="24"/>
        </w:rPr>
        <w:t xml:space="preserve"> и легализација и понатаму имаат тешкотии во справувањето со огромниот број предмети, главно поради недоволниот кадар и </w:t>
      </w:r>
      <w:r>
        <w:rPr>
          <w:rFonts w:ascii="Times New Roman" w:hAnsi="Times New Roman"/>
          <w:color w:val="000000"/>
          <w:sz w:val="24"/>
          <w:szCs w:val="24"/>
        </w:rPr>
        <w:t xml:space="preserve">недостигот </w:t>
      </w:r>
      <w:r w:rsidRPr="005147EE">
        <w:rPr>
          <w:rFonts w:ascii="Times New Roman" w:hAnsi="Times New Roman"/>
          <w:color w:val="000000"/>
          <w:sz w:val="24"/>
          <w:szCs w:val="24"/>
        </w:rPr>
        <w:t xml:space="preserve">на средства. </w:t>
      </w:r>
      <w:r>
        <w:rPr>
          <w:rFonts w:ascii="Times New Roman" w:hAnsi="Times New Roman"/>
          <w:color w:val="000000"/>
          <w:sz w:val="24"/>
          <w:szCs w:val="24"/>
        </w:rPr>
        <w:t>Повеќе од</w:t>
      </w:r>
      <w:r w:rsidRPr="005147EE">
        <w:rPr>
          <w:rFonts w:ascii="Times New Roman" w:hAnsi="Times New Roman"/>
          <w:color w:val="000000"/>
          <w:sz w:val="24"/>
          <w:szCs w:val="24"/>
        </w:rPr>
        <w:t xml:space="preserve"> 6</w:t>
      </w:r>
      <w:r>
        <w:rPr>
          <w:rFonts w:ascii="Times New Roman" w:hAnsi="Times New Roman"/>
          <w:color w:val="000000"/>
          <w:sz w:val="24"/>
          <w:szCs w:val="24"/>
        </w:rPr>
        <w:t>.</w:t>
      </w:r>
      <w:r w:rsidRPr="005147EE">
        <w:rPr>
          <w:rFonts w:ascii="Times New Roman" w:hAnsi="Times New Roman"/>
          <w:color w:val="000000"/>
          <w:sz w:val="24"/>
          <w:szCs w:val="24"/>
        </w:rPr>
        <w:t xml:space="preserve">000 предмети за денационализација </w:t>
      </w:r>
      <w:r>
        <w:rPr>
          <w:rFonts w:ascii="Times New Roman" w:hAnsi="Times New Roman"/>
          <w:color w:val="000000"/>
          <w:sz w:val="24"/>
          <w:szCs w:val="24"/>
        </w:rPr>
        <w:t>с</w:t>
      </w:r>
      <w:r w:rsidRPr="009768C4">
        <w:rPr>
          <w:rFonts w:ascii="Times New Roman" w:hAnsi="Times New Roman"/>
          <w:color w:val="000000"/>
          <w:sz w:val="24"/>
          <w:szCs w:val="24"/>
          <w:lang w:val="ru-RU"/>
        </w:rPr>
        <w:t>è</w:t>
      </w:r>
      <w:r w:rsidRPr="005147EE">
        <w:rPr>
          <w:rFonts w:ascii="Times New Roman" w:hAnsi="Times New Roman"/>
          <w:color w:val="000000"/>
          <w:sz w:val="24"/>
          <w:szCs w:val="24"/>
        </w:rPr>
        <w:t xml:space="preserve"> уште се отворени и претставуваат најголем дел од претставките упатени до Канцеларијата на Народниот правобранител, иако овој процес беше официјално прогласен за затворен во 2013 година.</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Начелата за </w:t>
      </w:r>
      <w:r w:rsidRPr="005147EE">
        <w:rPr>
          <w:rFonts w:ascii="Times New Roman" w:hAnsi="Times New Roman"/>
          <w:b/>
          <w:bCs/>
          <w:color w:val="000000"/>
          <w:sz w:val="24"/>
          <w:szCs w:val="24"/>
        </w:rPr>
        <w:t>недискриминација</w:t>
      </w:r>
      <w:r w:rsidRPr="005147EE">
        <w:rPr>
          <w:rFonts w:ascii="Times New Roman" w:hAnsi="Times New Roman"/>
          <w:color w:val="000000"/>
          <w:sz w:val="24"/>
          <w:szCs w:val="24"/>
        </w:rPr>
        <w:t xml:space="preserve"> се загарантирани со Уставот и </w:t>
      </w:r>
      <w:r>
        <w:rPr>
          <w:rFonts w:ascii="Times New Roman" w:hAnsi="Times New Roman"/>
          <w:color w:val="000000"/>
          <w:sz w:val="24"/>
          <w:szCs w:val="24"/>
        </w:rPr>
        <w:t xml:space="preserve">со </w:t>
      </w:r>
      <w:r w:rsidRPr="005147EE">
        <w:rPr>
          <w:rFonts w:ascii="Times New Roman" w:hAnsi="Times New Roman"/>
          <w:color w:val="000000"/>
          <w:sz w:val="24"/>
          <w:szCs w:val="24"/>
        </w:rPr>
        <w:t>националното законодавство. Органите треба да ја усогласат националната правна рамка со одредбите за антидискриминација, врз основа на Законот за спречување и заштита од дискриминација. По донесувањето на Стратегијата за еднаквост и недискриминација за 2021</w:t>
      </w:r>
      <w:r>
        <w:rPr>
          <w:rFonts w:ascii="Times New Roman" w:hAnsi="Times New Roman"/>
          <w:color w:val="000000"/>
          <w:sz w:val="24"/>
          <w:szCs w:val="24"/>
        </w:rPr>
        <w:t xml:space="preserve"> – </w:t>
      </w:r>
      <w:r w:rsidRPr="005147EE">
        <w:rPr>
          <w:rFonts w:ascii="Times New Roman" w:hAnsi="Times New Roman"/>
          <w:color w:val="000000"/>
          <w:sz w:val="24"/>
          <w:szCs w:val="24"/>
        </w:rPr>
        <w:t xml:space="preserve">2026 година, органите донесоа акциски план за спроведување на стратегијата, придружен со финансиска прогноза. Комисијата за спречување и заштита од дискриминација продолжи да биде проактивна и покрај </w:t>
      </w:r>
      <w:r>
        <w:rPr>
          <w:rFonts w:ascii="Times New Roman" w:hAnsi="Times New Roman"/>
          <w:color w:val="000000"/>
          <w:sz w:val="24"/>
          <w:szCs w:val="24"/>
        </w:rPr>
        <w:t>постојните</w:t>
      </w:r>
      <w:r w:rsidRPr="005147EE">
        <w:rPr>
          <w:rFonts w:ascii="Times New Roman" w:hAnsi="Times New Roman"/>
          <w:color w:val="000000"/>
          <w:sz w:val="24"/>
          <w:szCs w:val="24"/>
        </w:rPr>
        <w:t xml:space="preserve"> логистички и финансиски предизвици. Годишниот буџет на Комисијата беше малку повисок од претходната година, но се смета за недоволен за да </w:t>
      </w:r>
      <w:r>
        <w:rPr>
          <w:rFonts w:ascii="Times New Roman" w:hAnsi="Times New Roman"/>
          <w:color w:val="000000"/>
          <w:sz w:val="24"/>
          <w:szCs w:val="24"/>
        </w:rPr>
        <w:t>ѝ</w:t>
      </w:r>
      <w:r w:rsidRPr="005147EE">
        <w:rPr>
          <w:rFonts w:ascii="Times New Roman" w:hAnsi="Times New Roman"/>
          <w:color w:val="000000"/>
          <w:sz w:val="24"/>
          <w:szCs w:val="24"/>
        </w:rPr>
        <w:t xml:space="preserve"> овозможи на Комисијата да ги извршува своите функции. Меѓу работите што ја попречуваат работата на Комисијата се: две непополнети места за членови на Комисијата (од вкупно седум), недостаток на финансиска независност, низок број административен кадар и одредени ограничувања во актуелниот Закон за недискриминација. Собранието повторно не успеа да постигне консензус за именување членови на Комисијата, што влијае </w:t>
      </w:r>
      <w:r>
        <w:rPr>
          <w:rFonts w:ascii="Times New Roman" w:hAnsi="Times New Roman"/>
          <w:color w:val="000000"/>
          <w:sz w:val="24"/>
          <w:szCs w:val="24"/>
        </w:rPr>
        <w:t>врз</w:t>
      </w:r>
      <w:r w:rsidRPr="005147EE">
        <w:rPr>
          <w:rFonts w:ascii="Times New Roman" w:hAnsi="Times New Roman"/>
          <w:color w:val="000000"/>
          <w:sz w:val="24"/>
          <w:szCs w:val="24"/>
        </w:rPr>
        <w:t xml:space="preserve"> спроведувањето на Законот за спречување и заштита од дискриминација. Недостатокот на различност во Комисијата, особено во однос на полот и </w:t>
      </w:r>
      <w:r>
        <w:rPr>
          <w:rFonts w:ascii="Times New Roman" w:hAnsi="Times New Roman"/>
          <w:color w:val="000000"/>
          <w:sz w:val="24"/>
          <w:szCs w:val="24"/>
        </w:rPr>
        <w:t xml:space="preserve">на </w:t>
      </w:r>
      <w:r w:rsidRPr="005147EE">
        <w:rPr>
          <w:rFonts w:ascii="Times New Roman" w:hAnsi="Times New Roman"/>
          <w:color w:val="000000"/>
          <w:sz w:val="24"/>
          <w:szCs w:val="24"/>
        </w:rPr>
        <w:t xml:space="preserve">лицата со попреченост, продолжува да предизвикува критики од одредени членови на Комисијата и од граѓанското општество. Покрај </w:t>
      </w:r>
      <w:r>
        <w:rPr>
          <w:rFonts w:ascii="Times New Roman" w:hAnsi="Times New Roman"/>
          <w:color w:val="000000"/>
          <w:sz w:val="24"/>
          <w:szCs w:val="24"/>
        </w:rPr>
        <w:t>постојните</w:t>
      </w:r>
      <w:r w:rsidRPr="005147EE">
        <w:rPr>
          <w:rFonts w:ascii="Times New Roman" w:hAnsi="Times New Roman"/>
          <w:color w:val="000000"/>
          <w:sz w:val="24"/>
          <w:szCs w:val="24"/>
        </w:rPr>
        <w:t xml:space="preserve"> предизвици, во 2022 година Комисијата работеше на 248 претставки, седум постапки по службена должност и издаде две препораки. Дискриминација е утврдена во 30</w:t>
      </w:r>
      <w:r>
        <w:rPr>
          <w:rFonts w:ascii="Times New Roman" w:hAnsi="Times New Roman"/>
          <w:color w:val="000000"/>
          <w:sz w:val="24"/>
          <w:szCs w:val="24"/>
        </w:rPr>
        <w:t xml:space="preserve"> </w:t>
      </w:r>
      <w:r w:rsidRPr="005147EE">
        <w:rPr>
          <w:rFonts w:ascii="Times New Roman" w:hAnsi="Times New Roman"/>
          <w:color w:val="000000"/>
          <w:sz w:val="24"/>
          <w:szCs w:val="24"/>
        </w:rPr>
        <w:t xml:space="preserve">% од случаите, особено во областите на јавно информирање и медиуми и работни односи. </w:t>
      </w:r>
      <w:r>
        <w:rPr>
          <w:rFonts w:ascii="Times New Roman" w:hAnsi="Times New Roman"/>
          <w:color w:val="000000"/>
          <w:sz w:val="24"/>
          <w:szCs w:val="24"/>
        </w:rPr>
        <w:t>Во согласност со</w:t>
      </w:r>
      <w:r w:rsidRPr="005147EE">
        <w:rPr>
          <w:rFonts w:ascii="Times New Roman" w:hAnsi="Times New Roman"/>
          <w:color w:val="000000"/>
          <w:sz w:val="24"/>
          <w:szCs w:val="24"/>
        </w:rPr>
        <w:t xml:space="preserve"> нејзините широки овластувања, Комисијата поднесе 14 барања за поведување прекршочна постапка. Како одговор на барање поднесено од Комисијата, еден суд донесе пресуда со која ги потврди наодите за дискриминација.</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Правната рамка за борба против говорот на омраза има потреба од понатамошни подобрувања, во согласност со Генералната препорака за политика бр. 15 на Европската комисија против расизам и нетолеранција (ЕКРИ) за борба против говорот на омраза. Понатаму, земјата треба целосно да одговори на наодите и </w:t>
      </w:r>
      <w:r>
        <w:rPr>
          <w:rFonts w:ascii="Times New Roman" w:hAnsi="Times New Roman"/>
          <w:color w:val="000000"/>
          <w:sz w:val="24"/>
          <w:szCs w:val="24"/>
        </w:rPr>
        <w:t xml:space="preserve">на </w:t>
      </w:r>
      <w:r w:rsidRPr="005147EE">
        <w:rPr>
          <w:rFonts w:ascii="Times New Roman" w:hAnsi="Times New Roman"/>
          <w:color w:val="000000"/>
          <w:sz w:val="24"/>
          <w:szCs w:val="24"/>
        </w:rPr>
        <w:t>препораките на ЕКРИ во нејзиниот шести извештај од септември 2023 година.</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Достапноста на официјални податоци за злосторства од омраза останува спорадична, и покрај напорите на органите да развијат рамка за евиденција и собирање податоци. Базата на податоци на граѓанското општество продолжува успешно да евидентира случаи на злосторства од омраза. Потребно е зајакнување на капацитетите на службениците </w:t>
      </w:r>
      <w:r>
        <w:rPr>
          <w:rFonts w:ascii="Times New Roman" w:hAnsi="Times New Roman"/>
          <w:color w:val="000000"/>
          <w:sz w:val="24"/>
          <w:szCs w:val="24"/>
        </w:rPr>
        <w:t>што</w:t>
      </w:r>
      <w:r w:rsidRPr="005147EE">
        <w:rPr>
          <w:rFonts w:ascii="Times New Roman" w:hAnsi="Times New Roman"/>
          <w:color w:val="000000"/>
          <w:sz w:val="24"/>
          <w:szCs w:val="24"/>
        </w:rPr>
        <w:t xml:space="preserve"> го спроведуваат законот и кривичната правда, за спречување и гонење на сите облици на насилство, злосторства од омраза и говор на омраза. Потребно е зајакнување на капацитетите и разбирањето на службениците </w:t>
      </w:r>
      <w:r>
        <w:rPr>
          <w:rFonts w:ascii="Times New Roman" w:hAnsi="Times New Roman"/>
          <w:color w:val="000000"/>
          <w:sz w:val="24"/>
          <w:szCs w:val="24"/>
        </w:rPr>
        <w:t>што</w:t>
      </w:r>
      <w:r w:rsidRPr="005147EE">
        <w:rPr>
          <w:rFonts w:ascii="Times New Roman" w:hAnsi="Times New Roman"/>
          <w:color w:val="000000"/>
          <w:sz w:val="24"/>
          <w:szCs w:val="24"/>
        </w:rPr>
        <w:t xml:space="preserve"> го спроведуваат законот и правниците, како дел од пошироките напори за поттикнување потолерантна и недискриминаторска култура во општеството.</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Во октомври 2022 година беа именувани 49 </w:t>
      </w:r>
      <w:r>
        <w:rPr>
          <w:rFonts w:ascii="Times New Roman" w:hAnsi="Times New Roman"/>
          <w:color w:val="000000"/>
          <w:sz w:val="24"/>
          <w:szCs w:val="24"/>
        </w:rPr>
        <w:t>члена</w:t>
      </w:r>
      <w:r w:rsidRPr="005147EE">
        <w:rPr>
          <w:rFonts w:ascii="Times New Roman" w:hAnsi="Times New Roman"/>
          <w:color w:val="000000"/>
          <w:sz w:val="24"/>
          <w:szCs w:val="24"/>
        </w:rPr>
        <w:t xml:space="preserve"> на Националното координативно тело за еднаквост и недискриминација. Канцеларијата на Народниот правобранител работеше на три случаи по службена должност и прими 76 претставки </w:t>
      </w:r>
      <w:r>
        <w:rPr>
          <w:rFonts w:ascii="Times New Roman" w:hAnsi="Times New Roman"/>
          <w:color w:val="000000"/>
          <w:sz w:val="24"/>
          <w:szCs w:val="24"/>
        </w:rPr>
        <w:t>врз основа</w:t>
      </w:r>
      <w:r w:rsidRPr="005147EE">
        <w:rPr>
          <w:rFonts w:ascii="Times New Roman" w:hAnsi="Times New Roman"/>
          <w:color w:val="000000"/>
          <w:sz w:val="24"/>
          <w:szCs w:val="24"/>
        </w:rPr>
        <w:t xml:space="preserve"> на дискриминација (43 во 2021 година), претежно за работа и работни односи, и издаде 16 мислења. Одделот за заштита од дискриминација при Народниот правобранител и понатаму има недоволно вработени.</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Во 2022 година Министерството за внатрешни работи отвори 11 истраги за сајбер</w:t>
      </w:r>
      <w:r w:rsidR="00652875">
        <w:rPr>
          <w:rFonts w:ascii="Times New Roman" w:hAnsi="Times New Roman"/>
          <w:color w:val="000000"/>
          <w:sz w:val="24"/>
          <w:szCs w:val="24"/>
        </w:rPr>
        <w:t xml:space="preserve"> </w:t>
      </w:r>
      <w:r w:rsidRPr="005147EE">
        <w:rPr>
          <w:rFonts w:ascii="Times New Roman" w:hAnsi="Times New Roman"/>
          <w:color w:val="000000"/>
          <w:sz w:val="24"/>
          <w:szCs w:val="24"/>
        </w:rPr>
        <w:t>криминал. Граѓанските организации известуваат дека говорот на омраза во земјата е во пораст. Треба да постои систематска практика на собирање податоци и справување со говорот на омраза и злосторствата од омраза.</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Постигнат е одреден напредок во унапредувањето на </w:t>
      </w:r>
      <w:r w:rsidRPr="005147EE">
        <w:rPr>
          <w:rFonts w:ascii="Times New Roman" w:hAnsi="Times New Roman"/>
          <w:b/>
          <w:bCs/>
          <w:color w:val="000000"/>
          <w:sz w:val="24"/>
          <w:szCs w:val="24"/>
        </w:rPr>
        <w:t>родовата еднаквост</w:t>
      </w:r>
      <w:r w:rsidRPr="005147EE">
        <w:rPr>
          <w:rFonts w:ascii="Times New Roman" w:hAnsi="Times New Roman"/>
          <w:color w:val="000000"/>
          <w:sz w:val="24"/>
          <w:szCs w:val="24"/>
        </w:rPr>
        <w:t xml:space="preserve"> преку понатамошно усогласување со Истанбулската конвенција за спречување и борба против насилството врз жените и семејното насилство и развивање рамка за политика за интегрирање на родовите перспективи и усогласување со </w:t>
      </w:r>
      <w:r w:rsidRPr="005147EE">
        <w:rPr>
          <w:rFonts w:ascii="Times New Roman" w:hAnsi="Times New Roman"/>
          <w:i/>
          <w:iCs/>
          <w:color w:val="000000"/>
          <w:sz w:val="24"/>
          <w:szCs w:val="24"/>
        </w:rPr>
        <w:t>правото</w:t>
      </w:r>
      <w:r w:rsidRPr="005147EE">
        <w:rPr>
          <w:rFonts w:ascii="Times New Roman" w:hAnsi="Times New Roman"/>
          <w:color w:val="000000"/>
          <w:sz w:val="24"/>
          <w:szCs w:val="24"/>
        </w:rPr>
        <w:t xml:space="preserve"> на ЕУ за родова еднаквост. Националната стратегија за родова еднаквост беше </w:t>
      </w:r>
      <w:r>
        <w:rPr>
          <w:rFonts w:ascii="Times New Roman" w:hAnsi="Times New Roman"/>
          <w:color w:val="000000"/>
          <w:sz w:val="24"/>
          <w:szCs w:val="24"/>
        </w:rPr>
        <w:t>донесена</w:t>
      </w:r>
      <w:r w:rsidRPr="005147EE">
        <w:rPr>
          <w:rFonts w:ascii="Times New Roman" w:hAnsi="Times New Roman"/>
          <w:color w:val="000000"/>
          <w:sz w:val="24"/>
          <w:szCs w:val="24"/>
        </w:rPr>
        <w:t xml:space="preserve"> во јули 2022 година, заедно со акциски план за 2023</w:t>
      </w:r>
      <w:r>
        <w:rPr>
          <w:rFonts w:ascii="Times New Roman" w:hAnsi="Times New Roman"/>
          <w:color w:val="000000"/>
          <w:sz w:val="24"/>
          <w:szCs w:val="24"/>
        </w:rPr>
        <w:t xml:space="preserve"> – </w:t>
      </w:r>
      <w:r w:rsidRPr="005147EE">
        <w:rPr>
          <w:rFonts w:ascii="Times New Roman" w:hAnsi="Times New Roman"/>
          <w:color w:val="000000"/>
          <w:sz w:val="24"/>
          <w:szCs w:val="24"/>
        </w:rPr>
        <w:t xml:space="preserve">2024 година. Во февруари 2023 година беа </w:t>
      </w:r>
      <w:r>
        <w:rPr>
          <w:rFonts w:ascii="Times New Roman" w:hAnsi="Times New Roman"/>
          <w:color w:val="000000"/>
          <w:sz w:val="24"/>
          <w:szCs w:val="24"/>
        </w:rPr>
        <w:t>донесени</w:t>
      </w:r>
      <w:r w:rsidRPr="005147EE">
        <w:rPr>
          <w:rFonts w:ascii="Times New Roman" w:hAnsi="Times New Roman"/>
          <w:color w:val="000000"/>
          <w:sz w:val="24"/>
          <w:szCs w:val="24"/>
        </w:rPr>
        <w:t xml:space="preserve"> измените на Кривичниот законик, со кои се уредуваат кривичните дела на родово засновано насилство, вклучително и демнење и злосторство од омраза врз основа на родов идентитет и родови разлики. Министерството за одбрана продолжува со спроведување на оперативниот план за спроведување на Вториот национален акциски план за Резолуцијата на Советот за безбедност на ОН 1325 </w:t>
      </w:r>
      <w:r w:rsidRPr="005147EE">
        <w:rPr>
          <w:rFonts w:ascii="Times New Roman" w:hAnsi="Times New Roman"/>
          <w:i/>
          <w:iCs/>
          <w:color w:val="000000"/>
          <w:sz w:val="24"/>
          <w:szCs w:val="24"/>
        </w:rPr>
        <w:t>Жени, мир и безбедност</w:t>
      </w:r>
      <w:r w:rsidRPr="005147EE">
        <w:rPr>
          <w:rFonts w:ascii="Times New Roman" w:hAnsi="Times New Roman"/>
          <w:color w:val="000000"/>
          <w:sz w:val="24"/>
          <w:szCs w:val="24"/>
        </w:rPr>
        <w:t xml:space="preserve"> (2020 </w:t>
      </w:r>
      <w:r>
        <w:rPr>
          <w:rFonts w:ascii="Times New Roman" w:hAnsi="Times New Roman"/>
          <w:color w:val="000000"/>
          <w:sz w:val="24"/>
          <w:szCs w:val="24"/>
        </w:rPr>
        <w:t>–</w:t>
      </w:r>
      <w:r w:rsidRPr="005147EE">
        <w:rPr>
          <w:rFonts w:ascii="Times New Roman" w:hAnsi="Times New Roman"/>
          <w:color w:val="000000"/>
          <w:sz w:val="24"/>
          <w:szCs w:val="24"/>
        </w:rPr>
        <w:t xml:space="preserve"> 2025 година). Сепак, нема напредок во спроведувањето на целта за комуникација и градење капацитети за спроведување на Резолуцијата 1325 на локално ниво, што ги вклучува и единиците на локалната самоуправа и Заедницата на единиците на локалната самоуправа. Меѓуинституционалните механизми за спроведување и следење на политиката за родова еднаквост</w:t>
      </w:r>
      <w:r>
        <w:rPr>
          <w:rFonts w:ascii="Times New Roman" w:hAnsi="Times New Roman"/>
          <w:color w:val="000000"/>
          <w:sz w:val="24"/>
          <w:szCs w:val="24"/>
        </w:rPr>
        <w:t>,</w:t>
      </w:r>
      <w:r w:rsidRPr="005147EE">
        <w:rPr>
          <w:rFonts w:ascii="Times New Roman" w:hAnsi="Times New Roman"/>
          <w:color w:val="000000"/>
          <w:sz w:val="24"/>
          <w:szCs w:val="24"/>
        </w:rPr>
        <w:t xml:space="preserve"> треба да се зајакнат со подобрена структура, технички капацитет, соодветно финансирање и обучени професионалци во согласност со меѓународните стандарди. Законот за родова еднаквост </w:t>
      </w:r>
      <w:r>
        <w:rPr>
          <w:rFonts w:ascii="Times New Roman" w:hAnsi="Times New Roman"/>
          <w:color w:val="000000"/>
          <w:sz w:val="24"/>
          <w:szCs w:val="24"/>
        </w:rPr>
        <w:t>с</w:t>
      </w:r>
      <w:r w:rsidRPr="009768C4">
        <w:rPr>
          <w:rFonts w:ascii="Times New Roman" w:hAnsi="Times New Roman"/>
          <w:color w:val="000000"/>
          <w:sz w:val="24"/>
          <w:szCs w:val="24"/>
          <w:lang w:val="ru-RU"/>
        </w:rPr>
        <w:t>è</w:t>
      </w:r>
      <w:r w:rsidRPr="005147EE">
        <w:rPr>
          <w:rFonts w:ascii="Times New Roman" w:hAnsi="Times New Roman"/>
          <w:color w:val="000000"/>
          <w:sz w:val="24"/>
          <w:szCs w:val="24"/>
        </w:rPr>
        <w:t xml:space="preserve"> уште не е донесен. Ова во голема мера се должи на растечкото антиродово движење низ целата земја. Антиродовите кампањи, понекогаш поддржани од претставници на локалната власт, верски и политички лидери, предизвикуваат сериозна загриженост.</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Спроведувањето на Истанбулската конвенција останува предизвик. Додека Законот за спречување и заштита од насилство врз жените и семејно насилство беше </w:t>
      </w:r>
      <w:r>
        <w:rPr>
          <w:rFonts w:ascii="Times New Roman" w:hAnsi="Times New Roman"/>
          <w:color w:val="000000"/>
          <w:sz w:val="24"/>
          <w:szCs w:val="24"/>
        </w:rPr>
        <w:t>донесен</w:t>
      </w:r>
      <w:r w:rsidRPr="005147EE">
        <w:rPr>
          <w:rFonts w:ascii="Times New Roman" w:hAnsi="Times New Roman"/>
          <w:color w:val="000000"/>
          <w:sz w:val="24"/>
          <w:szCs w:val="24"/>
        </w:rPr>
        <w:t xml:space="preserve"> во 2021 година, законодавството за негово спроведување не е донесено. Спроведувањето, исто така, страда од недостаток на соодветно финансирање (вклучително и за Националното координативно тело за семејно насилство), ефективни оперативни </w:t>
      </w:r>
      <w:r>
        <w:rPr>
          <w:rFonts w:ascii="Times New Roman" w:hAnsi="Times New Roman"/>
          <w:color w:val="000000"/>
          <w:sz w:val="24"/>
          <w:szCs w:val="24"/>
        </w:rPr>
        <w:t>постапки</w:t>
      </w:r>
      <w:r w:rsidRPr="005147EE">
        <w:rPr>
          <w:rFonts w:ascii="Times New Roman" w:hAnsi="Times New Roman"/>
          <w:color w:val="000000"/>
          <w:sz w:val="24"/>
          <w:szCs w:val="24"/>
        </w:rPr>
        <w:t xml:space="preserve"> и програми за реинтеграција на жртвите на насилство.</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Недостасуваат оперативни меѓуинституционални протоколи, а полицијата и здравствените работници </w:t>
      </w:r>
      <w:r>
        <w:rPr>
          <w:rFonts w:ascii="Times New Roman" w:hAnsi="Times New Roman"/>
          <w:color w:val="000000"/>
          <w:sz w:val="24"/>
          <w:szCs w:val="24"/>
        </w:rPr>
        <w:t>с</w:t>
      </w:r>
      <w:r w:rsidRPr="009768C4">
        <w:rPr>
          <w:rFonts w:ascii="Times New Roman" w:hAnsi="Times New Roman"/>
          <w:color w:val="000000"/>
          <w:sz w:val="24"/>
          <w:szCs w:val="24"/>
          <w:lang w:val="ru-RU"/>
        </w:rPr>
        <w:t>è</w:t>
      </w:r>
      <w:r w:rsidRPr="005147EE">
        <w:rPr>
          <w:rFonts w:ascii="Times New Roman" w:hAnsi="Times New Roman"/>
          <w:color w:val="000000"/>
          <w:sz w:val="24"/>
          <w:szCs w:val="24"/>
        </w:rPr>
        <w:t xml:space="preserve"> уште имаат тешкотии да ги проценат последиците од насилството и да одговорат на нив. Жртвите на родово базирано и семејно насилство се соочија со неколку предизвици во пристапот до здравствени услуги поради </w:t>
      </w:r>
      <w:r>
        <w:rPr>
          <w:rFonts w:ascii="Times New Roman" w:hAnsi="Times New Roman"/>
          <w:color w:val="000000"/>
          <w:sz w:val="24"/>
          <w:szCs w:val="24"/>
        </w:rPr>
        <w:t>недостиг</w:t>
      </w:r>
      <w:r w:rsidRPr="005147EE">
        <w:rPr>
          <w:rFonts w:ascii="Times New Roman" w:hAnsi="Times New Roman"/>
          <w:color w:val="000000"/>
          <w:sz w:val="24"/>
          <w:szCs w:val="24"/>
        </w:rPr>
        <w:t xml:space="preserve"> на соодветно обучен кадар и ограничени сместувачки капацитети. </w:t>
      </w:r>
      <w:r w:rsidRPr="005147EE">
        <w:rPr>
          <w:rFonts w:ascii="Times New Roman" w:hAnsi="Times New Roman"/>
          <w:sz w:val="24"/>
          <w:szCs w:val="24"/>
        </w:rPr>
        <w:t xml:space="preserve">Граѓанските организации </w:t>
      </w:r>
      <w:r>
        <w:rPr>
          <w:rFonts w:ascii="Times New Roman" w:hAnsi="Times New Roman"/>
          <w:sz w:val="24"/>
          <w:szCs w:val="24"/>
        </w:rPr>
        <w:t>што</w:t>
      </w:r>
      <w:r w:rsidRPr="005147EE">
        <w:rPr>
          <w:rFonts w:ascii="Times New Roman" w:hAnsi="Times New Roman"/>
          <w:sz w:val="24"/>
          <w:szCs w:val="24"/>
        </w:rPr>
        <w:t xml:space="preserve"> нудат услуги за жртвите надвор од главниот град</w:t>
      </w:r>
      <w:r>
        <w:rPr>
          <w:rFonts w:ascii="Times New Roman" w:hAnsi="Times New Roman"/>
          <w:sz w:val="24"/>
          <w:szCs w:val="24"/>
        </w:rPr>
        <w:t>,</w:t>
      </w:r>
      <w:r w:rsidRPr="005147EE">
        <w:rPr>
          <w:rFonts w:ascii="Times New Roman" w:hAnsi="Times New Roman"/>
          <w:sz w:val="24"/>
          <w:szCs w:val="24"/>
        </w:rPr>
        <w:t xml:space="preserve"> </w:t>
      </w:r>
      <w:r>
        <w:rPr>
          <w:rFonts w:ascii="Times New Roman" w:hAnsi="Times New Roman"/>
          <w:color w:val="000000"/>
          <w:sz w:val="24"/>
          <w:szCs w:val="24"/>
        </w:rPr>
        <w:t>с</w:t>
      </w:r>
      <w:r w:rsidRPr="009768C4">
        <w:rPr>
          <w:rFonts w:ascii="Times New Roman" w:hAnsi="Times New Roman"/>
          <w:color w:val="000000"/>
          <w:sz w:val="24"/>
          <w:szCs w:val="24"/>
          <w:lang w:val="ru-RU"/>
        </w:rPr>
        <w:t>è</w:t>
      </w:r>
      <w:r w:rsidRPr="005147EE">
        <w:rPr>
          <w:rFonts w:ascii="Times New Roman" w:hAnsi="Times New Roman"/>
          <w:sz w:val="24"/>
          <w:szCs w:val="24"/>
        </w:rPr>
        <w:t xml:space="preserve"> уште целосно зависат од финансирањето од донатори.</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Постојани родови јазови постојат и во вработувањето и во учеството во работната сила. Кај работоспособното население, 46</w:t>
      </w:r>
      <w:r>
        <w:rPr>
          <w:rFonts w:ascii="Times New Roman" w:hAnsi="Times New Roman"/>
          <w:color w:val="000000"/>
          <w:sz w:val="24"/>
          <w:szCs w:val="24"/>
        </w:rPr>
        <w:t xml:space="preserve"> </w:t>
      </w:r>
      <w:r w:rsidRPr="005147EE">
        <w:rPr>
          <w:rFonts w:ascii="Times New Roman" w:hAnsi="Times New Roman"/>
          <w:color w:val="000000"/>
          <w:sz w:val="24"/>
          <w:szCs w:val="24"/>
        </w:rPr>
        <w:t>% од жените постојано се надвор од работната сила во споредба со 23,3</w:t>
      </w:r>
      <w:r>
        <w:rPr>
          <w:rFonts w:ascii="Times New Roman" w:hAnsi="Times New Roman"/>
          <w:color w:val="000000"/>
          <w:sz w:val="24"/>
          <w:szCs w:val="24"/>
        </w:rPr>
        <w:t xml:space="preserve"> </w:t>
      </w:r>
      <w:r w:rsidRPr="005147EE">
        <w:rPr>
          <w:rFonts w:ascii="Times New Roman" w:hAnsi="Times New Roman"/>
          <w:color w:val="000000"/>
          <w:sz w:val="24"/>
          <w:szCs w:val="24"/>
        </w:rPr>
        <w:t xml:space="preserve">% од мажите. Јазовите </w:t>
      </w:r>
      <w:r>
        <w:rPr>
          <w:rFonts w:ascii="Times New Roman" w:hAnsi="Times New Roman"/>
          <w:color w:val="000000"/>
          <w:sz w:val="24"/>
          <w:szCs w:val="24"/>
        </w:rPr>
        <w:t>се</w:t>
      </w:r>
      <w:r w:rsidRPr="005147EE">
        <w:rPr>
          <w:rFonts w:ascii="Times New Roman" w:hAnsi="Times New Roman"/>
          <w:color w:val="000000"/>
          <w:sz w:val="24"/>
          <w:szCs w:val="24"/>
        </w:rPr>
        <w:t xml:space="preserve"> уште поголеми за маргинализираните жени. Особено </w:t>
      </w:r>
      <w:r>
        <w:rPr>
          <w:rFonts w:ascii="Times New Roman" w:hAnsi="Times New Roman"/>
          <w:color w:val="000000"/>
          <w:sz w:val="24"/>
          <w:szCs w:val="24"/>
        </w:rPr>
        <w:t>Ромките</w:t>
      </w:r>
      <w:r w:rsidRPr="005147EE">
        <w:rPr>
          <w:rFonts w:ascii="Times New Roman" w:hAnsi="Times New Roman"/>
          <w:color w:val="000000"/>
          <w:sz w:val="24"/>
          <w:szCs w:val="24"/>
        </w:rPr>
        <w:t xml:space="preserve"> на возраст меѓу 40 и 44 години имаат највисока стапка на невработеност. Жените регистрирани како индивидуални земјоделци се исклучени од Законот за здравствено осигурување кога станува збор за надоместок поради болест, повреда на работното место и отсуство поради бременост, раѓање и мајчинство.</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Покрај тоа, 50,5</w:t>
      </w:r>
      <w:r>
        <w:rPr>
          <w:rFonts w:ascii="Times New Roman" w:hAnsi="Times New Roman"/>
          <w:color w:val="000000"/>
          <w:sz w:val="24"/>
          <w:szCs w:val="24"/>
        </w:rPr>
        <w:t xml:space="preserve"> </w:t>
      </w:r>
      <w:r w:rsidRPr="005147EE">
        <w:rPr>
          <w:rFonts w:ascii="Times New Roman" w:hAnsi="Times New Roman"/>
          <w:color w:val="000000"/>
          <w:sz w:val="24"/>
          <w:szCs w:val="24"/>
        </w:rPr>
        <w:t>% од жените се надвор од работната сила поради нивните обврски за нега на другите луѓе, во споредба со 1,7</w:t>
      </w:r>
      <w:r>
        <w:rPr>
          <w:rFonts w:ascii="Times New Roman" w:hAnsi="Times New Roman"/>
          <w:color w:val="000000"/>
          <w:sz w:val="24"/>
          <w:szCs w:val="24"/>
        </w:rPr>
        <w:t xml:space="preserve"> </w:t>
      </w:r>
      <w:r w:rsidRPr="005147EE">
        <w:rPr>
          <w:rFonts w:ascii="Times New Roman" w:hAnsi="Times New Roman"/>
          <w:color w:val="000000"/>
          <w:sz w:val="24"/>
          <w:szCs w:val="24"/>
        </w:rPr>
        <w:t xml:space="preserve">% од мажите. Ова покажува дека неплатената работа за нега директно придонесува за нееднаквостите во учеството на жените во работната сила и поопшто за исклучувањето на жените. Веќе неколку години се очекува </w:t>
      </w:r>
      <w:r>
        <w:rPr>
          <w:rFonts w:ascii="Times New Roman" w:hAnsi="Times New Roman"/>
          <w:color w:val="000000"/>
          <w:sz w:val="24"/>
          <w:szCs w:val="24"/>
        </w:rPr>
        <w:t>донесувањето</w:t>
      </w:r>
      <w:r w:rsidRPr="005147EE">
        <w:rPr>
          <w:rFonts w:ascii="Times New Roman" w:hAnsi="Times New Roman"/>
          <w:color w:val="000000"/>
          <w:sz w:val="24"/>
          <w:szCs w:val="24"/>
        </w:rPr>
        <w:t xml:space="preserve"> на Предлог-</w:t>
      </w:r>
      <w:r>
        <w:rPr>
          <w:rFonts w:ascii="Times New Roman" w:hAnsi="Times New Roman"/>
          <w:color w:val="000000"/>
          <w:sz w:val="24"/>
          <w:szCs w:val="24"/>
        </w:rPr>
        <w:t>з</w:t>
      </w:r>
      <w:r w:rsidRPr="005147EE">
        <w:rPr>
          <w:rFonts w:ascii="Times New Roman" w:hAnsi="Times New Roman"/>
          <w:color w:val="000000"/>
          <w:sz w:val="24"/>
          <w:szCs w:val="24"/>
        </w:rPr>
        <w:t xml:space="preserve">аконот за работните односи, кој вклучува заедничко родителско отсуство, како и </w:t>
      </w:r>
      <w:r>
        <w:rPr>
          <w:rFonts w:ascii="Times New Roman" w:hAnsi="Times New Roman"/>
          <w:color w:val="000000"/>
          <w:sz w:val="24"/>
          <w:szCs w:val="24"/>
        </w:rPr>
        <w:t>донесувањето</w:t>
      </w:r>
      <w:r w:rsidRPr="005147EE">
        <w:rPr>
          <w:rFonts w:ascii="Times New Roman" w:hAnsi="Times New Roman"/>
          <w:color w:val="000000"/>
          <w:sz w:val="24"/>
          <w:szCs w:val="24"/>
        </w:rPr>
        <w:t xml:space="preserve"> Закон за вознемирување на работното место.</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Недостигот на веродостојни податоци разделени по пол низ секторите претставува значителна пречка за развојот на политики засновани на докази и соодветни мерки. Првиот национален индекс за родова еднаквост беше објавен во 2019 година, но </w:t>
      </w:r>
      <w:r>
        <w:rPr>
          <w:rFonts w:ascii="Times New Roman" w:hAnsi="Times New Roman"/>
          <w:color w:val="000000"/>
          <w:sz w:val="24"/>
          <w:szCs w:val="24"/>
        </w:rPr>
        <w:t>с</w:t>
      </w:r>
      <w:r w:rsidRPr="009768C4">
        <w:rPr>
          <w:rFonts w:ascii="Times New Roman" w:hAnsi="Times New Roman"/>
          <w:color w:val="000000"/>
          <w:sz w:val="24"/>
          <w:szCs w:val="24"/>
          <w:lang w:val="ru-RU"/>
        </w:rPr>
        <w:t>è</w:t>
      </w:r>
      <w:r w:rsidRPr="005147EE">
        <w:rPr>
          <w:rFonts w:ascii="Times New Roman" w:hAnsi="Times New Roman"/>
          <w:color w:val="000000"/>
          <w:sz w:val="24"/>
          <w:szCs w:val="24"/>
        </w:rPr>
        <w:t xml:space="preserve"> уште не е ажуриран. На релевантните институции им недостасува капацитет и координација потребни за соодветно собирање и анализа на родовите статистики.</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Различни законодавни и институционални мерки и политики ги штитат </w:t>
      </w:r>
      <w:r w:rsidRPr="005147EE">
        <w:rPr>
          <w:rFonts w:ascii="Times New Roman" w:hAnsi="Times New Roman"/>
          <w:b/>
          <w:bCs/>
          <w:color w:val="000000"/>
          <w:sz w:val="24"/>
          <w:szCs w:val="24"/>
        </w:rPr>
        <w:t>правата на детето</w:t>
      </w:r>
      <w:r w:rsidRPr="005147EE">
        <w:rPr>
          <w:rFonts w:ascii="Times New Roman" w:hAnsi="Times New Roman"/>
          <w:color w:val="000000"/>
          <w:sz w:val="24"/>
          <w:szCs w:val="24"/>
        </w:rPr>
        <w:t xml:space="preserve"> во согласност со меѓународните стандарди и </w:t>
      </w:r>
      <w:r w:rsidRPr="005147EE">
        <w:rPr>
          <w:rFonts w:ascii="Times New Roman" w:hAnsi="Times New Roman"/>
          <w:i/>
          <w:iCs/>
          <w:color w:val="000000"/>
          <w:sz w:val="24"/>
          <w:szCs w:val="24"/>
        </w:rPr>
        <w:t>правото</w:t>
      </w:r>
      <w:r w:rsidRPr="005147EE">
        <w:rPr>
          <w:rFonts w:ascii="Times New Roman" w:hAnsi="Times New Roman"/>
          <w:color w:val="000000"/>
          <w:sz w:val="24"/>
          <w:szCs w:val="24"/>
        </w:rPr>
        <w:t xml:space="preserve"> на ЕУ. Сепак, потребна е подобра законодавна рамка, повеќе финансии и повеќе човечки ресурси во повеќето сектори. Потребни се натамошни реформи и подобра меѓуинституционална соработка за да се обезбеди почитување на правата на децата на образование, здравство, заштита од насилство, недискриминација итн.</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Подготовката на национален акциски план за деца беше дополнително одложена. Северна Македонија </w:t>
      </w:r>
      <w:r>
        <w:rPr>
          <w:rFonts w:ascii="Times New Roman" w:hAnsi="Times New Roman"/>
          <w:color w:val="000000"/>
          <w:sz w:val="24"/>
          <w:szCs w:val="24"/>
        </w:rPr>
        <w:t>с</w:t>
      </w:r>
      <w:r w:rsidRPr="009768C4">
        <w:rPr>
          <w:rFonts w:ascii="Times New Roman" w:hAnsi="Times New Roman"/>
          <w:color w:val="000000"/>
          <w:sz w:val="24"/>
          <w:szCs w:val="24"/>
          <w:lang w:val="ru-RU"/>
        </w:rPr>
        <w:t>è</w:t>
      </w:r>
      <w:r w:rsidRPr="005147EE">
        <w:rPr>
          <w:rFonts w:ascii="Times New Roman" w:hAnsi="Times New Roman"/>
          <w:color w:val="000000"/>
          <w:sz w:val="24"/>
          <w:szCs w:val="24"/>
        </w:rPr>
        <w:t xml:space="preserve"> уште нема национално тело одговорно за координирање на сите политики поврзани со спроведувањето на Конвенцијата на ОН за правата на детето и </w:t>
      </w:r>
      <w:r>
        <w:rPr>
          <w:rFonts w:ascii="Times New Roman" w:hAnsi="Times New Roman"/>
          <w:color w:val="000000"/>
          <w:sz w:val="24"/>
          <w:szCs w:val="24"/>
        </w:rPr>
        <w:t>ф</w:t>
      </w:r>
      <w:r w:rsidRPr="005147EE">
        <w:rPr>
          <w:rFonts w:ascii="Times New Roman" w:hAnsi="Times New Roman"/>
          <w:color w:val="000000"/>
          <w:sz w:val="24"/>
          <w:szCs w:val="24"/>
        </w:rPr>
        <w:t>акултативните протоколи. Одредбите од семејното право за посвојување и брак на возраст под 18 години</w:t>
      </w:r>
      <w:r>
        <w:rPr>
          <w:rFonts w:ascii="Times New Roman" w:hAnsi="Times New Roman"/>
          <w:color w:val="000000"/>
          <w:sz w:val="24"/>
          <w:szCs w:val="24"/>
        </w:rPr>
        <w:t>,</w:t>
      </w:r>
      <w:r w:rsidRPr="005147EE">
        <w:rPr>
          <w:rFonts w:ascii="Times New Roman" w:hAnsi="Times New Roman"/>
          <w:color w:val="000000"/>
          <w:sz w:val="24"/>
          <w:szCs w:val="24"/>
        </w:rPr>
        <w:t xml:space="preserve"> не ги исполнуваат меѓународните стандарди. Ова треба да се третира како итно прашање. Третиот факултативен протокол за комуникациска постапка </w:t>
      </w:r>
      <w:r>
        <w:rPr>
          <w:rFonts w:ascii="Times New Roman" w:hAnsi="Times New Roman"/>
          <w:color w:val="000000"/>
          <w:sz w:val="24"/>
          <w:szCs w:val="24"/>
        </w:rPr>
        <w:t>с</w:t>
      </w:r>
      <w:r w:rsidRPr="009768C4">
        <w:rPr>
          <w:rFonts w:ascii="Times New Roman" w:hAnsi="Times New Roman"/>
          <w:color w:val="000000"/>
          <w:sz w:val="24"/>
          <w:szCs w:val="24"/>
          <w:lang w:val="ru-RU"/>
        </w:rPr>
        <w:t>è</w:t>
      </w:r>
      <w:r w:rsidRPr="005147EE">
        <w:rPr>
          <w:rFonts w:ascii="Times New Roman" w:hAnsi="Times New Roman"/>
          <w:color w:val="000000"/>
          <w:sz w:val="24"/>
          <w:szCs w:val="24"/>
        </w:rPr>
        <w:t xml:space="preserve"> уште не е ратификуван. Во 2022 година до Народниот правобранител биле поднесени 252 претставки поврзани со прекршување на детските права, од кои 12 се однесуваат на деца со попреченост. Народниот правобранител издаде 103 мислења, кои беа прифатени во 87 предмети. Потребно е подигање на свеста за можноста децата сами да поднесат претставки. Потребни се понатамошни активности за зајакнување на капацитетот, особено, на човечките и </w:t>
      </w:r>
      <w:r>
        <w:rPr>
          <w:rFonts w:ascii="Times New Roman" w:hAnsi="Times New Roman"/>
          <w:color w:val="000000"/>
          <w:sz w:val="24"/>
          <w:szCs w:val="24"/>
        </w:rPr>
        <w:t xml:space="preserve">на </w:t>
      </w:r>
      <w:r w:rsidRPr="005147EE">
        <w:rPr>
          <w:rFonts w:ascii="Times New Roman" w:hAnsi="Times New Roman"/>
          <w:color w:val="000000"/>
          <w:sz w:val="24"/>
          <w:szCs w:val="24"/>
        </w:rPr>
        <w:t xml:space="preserve">финансиските ресурси на Одделот за правата на детето и </w:t>
      </w:r>
      <w:r>
        <w:rPr>
          <w:rFonts w:ascii="Times New Roman" w:hAnsi="Times New Roman"/>
          <w:color w:val="000000"/>
          <w:sz w:val="24"/>
          <w:szCs w:val="24"/>
        </w:rPr>
        <w:t xml:space="preserve">на </w:t>
      </w:r>
      <w:r w:rsidRPr="005147EE">
        <w:rPr>
          <w:rFonts w:ascii="Times New Roman" w:hAnsi="Times New Roman"/>
          <w:color w:val="000000"/>
          <w:sz w:val="24"/>
          <w:szCs w:val="24"/>
        </w:rPr>
        <w:t>лицата со попреченост на Народниот правобранител. Народниот правобранител исто така треба да биде понезависен и да има посилна надлежност.</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Децата треба да бидат повеќе вклучени во креирањето на политиките поврзани со правата на децата или кои влијаат </w:t>
      </w:r>
      <w:r>
        <w:rPr>
          <w:rFonts w:ascii="Times New Roman" w:hAnsi="Times New Roman"/>
          <w:color w:val="000000"/>
          <w:sz w:val="24"/>
          <w:szCs w:val="24"/>
        </w:rPr>
        <w:t>врз</w:t>
      </w:r>
      <w:r w:rsidRPr="005147EE">
        <w:rPr>
          <w:rFonts w:ascii="Times New Roman" w:hAnsi="Times New Roman"/>
          <w:color w:val="000000"/>
          <w:sz w:val="24"/>
          <w:szCs w:val="24"/>
        </w:rPr>
        <w:t xml:space="preserve"> нив. Најдобриот интерес на детето треба да биде примарна грижа кога институциите подготвуваат политики релевантни за децата и ова начело треба да биде вградено во сите релевантни закони и документи за политики. Потребна е поголема поддршка на механизмите за заштита на децата од насилство, во форма на доволно финансирање и спроведување на Националната стратегија за заштита на децата од насилство (2020</w:t>
      </w:r>
      <w:r>
        <w:rPr>
          <w:rFonts w:ascii="Times New Roman" w:hAnsi="Times New Roman"/>
          <w:color w:val="000000"/>
          <w:sz w:val="24"/>
          <w:szCs w:val="24"/>
        </w:rPr>
        <w:t xml:space="preserve"> – </w:t>
      </w:r>
      <w:r w:rsidRPr="005147EE">
        <w:rPr>
          <w:rFonts w:ascii="Times New Roman" w:hAnsi="Times New Roman"/>
          <w:color w:val="000000"/>
          <w:sz w:val="24"/>
          <w:szCs w:val="24"/>
        </w:rPr>
        <w:t xml:space="preserve">2025 година). За да се осигури културна промена и да се разбие општественото прифаќање на насилството врз децата, потребна е соодветна образовна поддршка за родителите, насочена кон зајакнување на позитивните, ненасилни родителски вештини. Потребни се мерки за зајакнување на системот за детска заштита и подобрување на собирањето податоци за насилство и злоупотреба, и онлајн и офлајн. Во моментот не постои одредба за специјализирана терапија и рехабилитација </w:t>
      </w:r>
      <w:r>
        <w:rPr>
          <w:rFonts w:ascii="Times New Roman" w:hAnsi="Times New Roman"/>
          <w:color w:val="000000"/>
          <w:sz w:val="24"/>
          <w:szCs w:val="24"/>
        </w:rPr>
        <w:t>приспособена</w:t>
      </w:r>
      <w:r w:rsidRPr="005147EE">
        <w:rPr>
          <w:rFonts w:ascii="Times New Roman" w:hAnsi="Times New Roman"/>
          <w:color w:val="000000"/>
          <w:sz w:val="24"/>
          <w:szCs w:val="24"/>
        </w:rPr>
        <w:t xml:space="preserve"> на деца </w:t>
      </w:r>
      <w:r>
        <w:rPr>
          <w:rFonts w:ascii="Times New Roman" w:hAnsi="Times New Roman"/>
          <w:color w:val="000000"/>
          <w:sz w:val="24"/>
          <w:szCs w:val="24"/>
        </w:rPr>
        <w:t>што</w:t>
      </w:r>
      <w:r w:rsidRPr="005147EE">
        <w:rPr>
          <w:rFonts w:ascii="Times New Roman" w:hAnsi="Times New Roman"/>
          <w:color w:val="000000"/>
          <w:sz w:val="24"/>
          <w:szCs w:val="24"/>
        </w:rPr>
        <w:t xml:space="preserve"> се жртви на насилство. </w:t>
      </w:r>
      <w:r>
        <w:rPr>
          <w:rFonts w:ascii="Times New Roman" w:hAnsi="Times New Roman"/>
          <w:color w:val="000000"/>
          <w:sz w:val="24"/>
          <w:szCs w:val="24"/>
        </w:rPr>
        <w:t>О</w:t>
      </w:r>
      <w:r w:rsidRPr="005147EE">
        <w:rPr>
          <w:rFonts w:ascii="Times New Roman" w:hAnsi="Times New Roman"/>
          <w:color w:val="000000"/>
          <w:sz w:val="24"/>
          <w:szCs w:val="24"/>
        </w:rPr>
        <w:t>д суштинско значење за спроведувањето и следењето на Националната стратегија за заштита на децата од насилство</w:t>
      </w:r>
      <w:r>
        <w:rPr>
          <w:rFonts w:ascii="Times New Roman" w:hAnsi="Times New Roman"/>
          <w:color w:val="000000"/>
          <w:sz w:val="24"/>
          <w:szCs w:val="24"/>
        </w:rPr>
        <w:t>, се с</w:t>
      </w:r>
      <w:r w:rsidRPr="005147EE">
        <w:rPr>
          <w:rFonts w:ascii="Times New Roman" w:hAnsi="Times New Roman"/>
          <w:color w:val="000000"/>
          <w:sz w:val="24"/>
          <w:szCs w:val="24"/>
        </w:rPr>
        <w:t>игурни и споредливи податоци разделени по возраст и пол.</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Недостигаат ажурирани информации за мерките преземени за борба против детската сиромаштија и за процена на влијанието на постојната правна заштита. И покрај мерките за социјална заштита насочени кон борба против социо-економските последици од КОВИД-19, потребни се дополнителни напори за спречување и ублажување на ефектите од детската сиромаштија. Органите треба да се обврзат да направат промени во системот за социјална заштита за да се направи почувствителен на децата врз основа на модел за обезбедување услуги насочени кон децата. Соработката на локално ниво треба да се подобри меѓу засегнатите страни, да се вклучат ГО за правата на децата и самите деца во одлуките што ги засегаат. Капацитетот на центрите за социјална работа треба да се зајакне за да развијат и </w:t>
      </w:r>
      <w:r>
        <w:rPr>
          <w:rFonts w:ascii="Times New Roman" w:hAnsi="Times New Roman"/>
          <w:color w:val="000000"/>
          <w:sz w:val="24"/>
          <w:szCs w:val="24"/>
        </w:rPr>
        <w:t xml:space="preserve">да се </w:t>
      </w:r>
      <w:r w:rsidRPr="005147EE">
        <w:rPr>
          <w:rFonts w:ascii="Times New Roman" w:hAnsi="Times New Roman"/>
          <w:color w:val="000000"/>
          <w:sz w:val="24"/>
          <w:szCs w:val="24"/>
        </w:rPr>
        <w:t>поддржат нови услуги во заедниците низ целата земја, вклучително и услуги за поддршка на децата во ризик, децата Роми и децата со попреченост што се жртви на дискриминација и сегрегација.</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Северна Македонија продолжи со своите напори за вклучување на децата со попреченост во редовните училишта и во предучилишните установи. Сепак, нема доволно финансиски и човечки ресурси за спроведување на Законот за основно образование и </w:t>
      </w:r>
      <w:r>
        <w:rPr>
          <w:rFonts w:ascii="Times New Roman" w:hAnsi="Times New Roman"/>
          <w:color w:val="000000"/>
          <w:sz w:val="24"/>
          <w:szCs w:val="24"/>
        </w:rPr>
        <w:t xml:space="preserve">на </w:t>
      </w:r>
      <w:r w:rsidRPr="005147EE">
        <w:rPr>
          <w:rFonts w:ascii="Times New Roman" w:hAnsi="Times New Roman"/>
          <w:color w:val="000000"/>
          <w:sz w:val="24"/>
          <w:szCs w:val="24"/>
        </w:rPr>
        <w:t xml:space="preserve">социјалниот модел на процена на попреченост врз основа на човековите права. И покрај подобрувањата во правната рамка, остануваат одредени прашања поврзани со собирањето централно разделени податоци за децата со попреченост, </w:t>
      </w:r>
      <w:r>
        <w:rPr>
          <w:rFonts w:ascii="Times New Roman" w:hAnsi="Times New Roman"/>
          <w:color w:val="000000"/>
          <w:sz w:val="24"/>
          <w:szCs w:val="24"/>
        </w:rPr>
        <w:t>недостигот</w:t>
      </w:r>
      <w:r w:rsidRPr="005147EE">
        <w:rPr>
          <w:rFonts w:ascii="Times New Roman" w:hAnsi="Times New Roman"/>
          <w:color w:val="000000"/>
          <w:sz w:val="24"/>
          <w:szCs w:val="24"/>
        </w:rPr>
        <w:t xml:space="preserve"> на соодветни капацитети, недостатокот на услуги во заедницата и предрасудите. Ова води кон маргинализација и дискриминација на децата со попреченост во однос на пристапот до услугите за образование, здравство и социјална заштита. Во однос на децата без родителска грижа, услугите во заедницата и во регионалните центри за помош со згрижувачки семејства беа обезбедени низ целата земја и ниту едно дете сега не е под институционализирана грижа. Сепак, </w:t>
      </w:r>
      <w:r w:rsidR="006143CA">
        <w:rPr>
          <w:rFonts w:ascii="Times New Roman" w:hAnsi="Times New Roman"/>
          <w:color w:val="000000"/>
          <w:sz w:val="24"/>
          <w:szCs w:val="24"/>
        </w:rPr>
        <w:t>органите</w:t>
      </w:r>
      <w:r w:rsidR="006143CA" w:rsidRPr="005147EE">
        <w:rPr>
          <w:rFonts w:ascii="Times New Roman" w:hAnsi="Times New Roman"/>
          <w:color w:val="000000"/>
          <w:sz w:val="24"/>
          <w:szCs w:val="24"/>
        </w:rPr>
        <w:t xml:space="preserve"> </w:t>
      </w:r>
      <w:r w:rsidRPr="005147EE">
        <w:rPr>
          <w:rFonts w:ascii="Times New Roman" w:hAnsi="Times New Roman"/>
          <w:color w:val="000000"/>
          <w:sz w:val="24"/>
          <w:szCs w:val="24"/>
        </w:rPr>
        <w:t xml:space="preserve">треба да продолжат да го реформираат системот за заштита на децата на начин </w:t>
      </w:r>
      <w:r>
        <w:rPr>
          <w:rFonts w:ascii="Times New Roman" w:hAnsi="Times New Roman"/>
          <w:color w:val="000000"/>
          <w:sz w:val="24"/>
          <w:szCs w:val="24"/>
        </w:rPr>
        <w:t>што</w:t>
      </w:r>
      <w:r w:rsidRPr="005147EE">
        <w:rPr>
          <w:rFonts w:ascii="Times New Roman" w:hAnsi="Times New Roman"/>
          <w:color w:val="000000"/>
          <w:sz w:val="24"/>
          <w:szCs w:val="24"/>
        </w:rPr>
        <w:t xml:space="preserve"> ќе обезбеди приоритет на сместувањето на децата во семејство пред сместувањето во малите групни домови.</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Органите идентификуваа седум деца жртви на трговија со луѓе во 2022 година. Потребни се повеќе мерки за осигурување ефективна поддршка на ранливите деца, вклучително и заштита од сексуална експлоатација. Органите треба да воспостават програми за обука за правата на децата за сите професионалци. </w:t>
      </w:r>
      <w:r>
        <w:rPr>
          <w:rFonts w:ascii="Times New Roman" w:hAnsi="Times New Roman"/>
          <w:color w:val="000000"/>
          <w:sz w:val="24"/>
          <w:szCs w:val="24"/>
        </w:rPr>
        <w:t>На</w:t>
      </w:r>
      <w:r w:rsidRPr="005147EE">
        <w:rPr>
          <w:rFonts w:ascii="Times New Roman" w:hAnsi="Times New Roman"/>
          <w:color w:val="000000"/>
          <w:sz w:val="24"/>
          <w:szCs w:val="24"/>
        </w:rPr>
        <w:t xml:space="preserve"> судиите и </w:t>
      </w:r>
      <w:r>
        <w:rPr>
          <w:rFonts w:ascii="Times New Roman" w:hAnsi="Times New Roman"/>
          <w:color w:val="000000"/>
          <w:sz w:val="24"/>
          <w:szCs w:val="24"/>
        </w:rPr>
        <w:t xml:space="preserve">на </w:t>
      </w:r>
      <w:r w:rsidRPr="005147EE">
        <w:rPr>
          <w:rFonts w:ascii="Times New Roman" w:hAnsi="Times New Roman"/>
          <w:color w:val="000000"/>
          <w:sz w:val="24"/>
          <w:szCs w:val="24"/>
        </w:rPr>
        <w:t xml:space="preserve">јавните обвинители треба да им се обезбеди </w:t>
      </w:r>
      <w:r>
        <w:rPr>
          <w:rFonts w:ascii="Times New Roman" w:hAnsi="Times New Roman"/>
          <w:color w:val="000000"/>
          <w:sz w:val="24"/>
          <w:szCs w:val="24"/>
        </w:rPr>
        <w:t>к</w:t>
      </w:r>
      <w:r w:rsidRPr="005147EE">
        <w:rPr>
          <w:rFonts w:ascii="Times New Roman" w:hAnsi="Times New Roman"/>
          <w:color w:val="000000"/>
          <w:sz w:val="24"/>
          <w:szCs w:val="24"/>
        </w:rPr>
        <w:t xml:space="preserve">онтинуирана обука за професионален развој за прашања </w:t>
      </w:r>
      <w:r>
        <w:rPr>
          <w:rFonts w:ascii="Times New Roman" w:hAnsi="Times New Roman"/>
          <w:color w:val="000000"/>
          <w:sz w:val="24"/>
          <w:szCs w:val="24"/>
        </w:rPr>
        <w:t>какви</w:t>
      </w:r>
      <w:r w:rsidRPr="005147EE">
        <w:rPr>
          <w:rFonts w:ascii="Times New Roman" w:hAnsi="Times New Roman"/>
          <w:color w:val="000000"/>
          <w:sz w:val="24"/>
          <w:szCs w:val="24"/>
        </w:rPr>
        <w:t xml:space="preserve"> што се дискриминација врз основа на попреченост, родово базирано насилство врз жените и насилство врз деца. Националниот акциски план и Стратегија за борба против трговијата со деца (2021</w:t>
      </w:r>
      <w:r>
        <w:rPr>
          <w:rFonts w:ascii="Times New Roman" w:hAnsi="Times New Roman"/>
          <w:color w:val="000000"/>
          <w:sz w:val="24"/>
          <w:szCs w:val="24"/>
        </w:rPr>
        <w:t xml:space="preserve"> </w:t>
      </w:r>
      <w:r w:rsidRPr="005147EE">
        <w:rPr>
          <w:rFonts w:ascii="Times New Roman" w:hAnsi="Times New Roman"/>
          <w:color w:val="000000"/>
          <w:sz w:val="24"/>
          <w:szCs w:val="24"/>
        </w:rPr>
        <w:t>–</w:t>
      </w:r>
      <w:r>
        <w:rPr>
          <w:rFonts w:ascii="Times New Roman" w:hAnsi="Times New Roman"/>
          <w:color w:val="000000"/>
          <w:sz w:val="24"/>
          <w:szCs w:val="24"/>
        </w:rPr>
        <w:t xml:space="preserve"> </w:t>
      </w:r>
      <w:r w:rsidRPr="005147EE">
        <w:rPr>
          <w:rFonts w:ascii="Times New Roman" w:hAnsi="Times New Roman"/>
          <w:color w:val="000000"/>
          <w:sz w:val="24"/>
          <w:szCs w:val="24"/>
        </w:rPr>
        <w:t>2025 година) треба да се усогласат со Конвенцијата Ланзароте.</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Новиот Закон за правда за децата беше </w:t>
      </w:r>
      <w:r>
        <w:rPr>
          <w:rFonts w:ascii="Times New Roman" w:hAnsi="Times New Roman"/>
          <w:color w:val="000000"/>
          <w:sz w:val="24"/>
          <w:szCs w:val="24"/>
        </w:rPr>
        <w:t>донесен</w:t>
      </w:r>
      <w:r w:rsidRPr="005147EE">
        <w:rPr>
          <w:rFonts w:ascii="Times New Roman" w:hAnsi="Times New Roman"/>
          <w:color w:val="000000"/>
          <w:sz w:val="24"/>
          <w:szCs w:val="24"/>
        </w:rPr>
        <w:t xml:space="preserve"> во согласност со меѓународните стандарди и </w:t>
      </w:r>
      <w:r w:rsidRPr="005147EE">
        <w:rPr>
          <w:rFonts w:ascii="Times New Roman" w:hAnsi="Times New Roman"/>
          <w:i/>
          <w:iCs/>
          <w:color w:val="000000"/>
          <w:sz w:val="24"/>
          <w:szCs w:val="24"/>
        </w:rPr>
        <w:t>правото</w:t>
      </w:r>
      <w:r w:rsidRPr="005147EE">
        <w:rPr>
          <w:rFonts w:ascii="Times New Roman" w:hAnsi="Times New Roman"/>
          <w:color w:val="000000"/>
          <w:sz w:val="24"/>
          <w:szCs w:val="24"/>
        </w:rPr>
        <w:t xml:space="preserve"> на ЕУ, вклучително и Директивата за процедурални заштитни мерки за деца </w:t>
      </w:r>
      <w:r>
        <w:rPr>
          <w:rFonts w:ascii="Times New Roman" w:hAnsi="Times New Roman"/>
          <w:color w:val="000000"/>
          <w:sz w:val="24"/>
          <w:szCs w:val="24"/>
        </w:rPr>
        <w:t>што</w:t>
      </w:r>
      <w:r w:rsidRPr="005147EE">
        <w:rPr>
          <w:rFonts w:ascii="Times New Roman" w:hAnsi="Times New Roman"/>
          <w:color w:val="000000"/>
          <w:sz w:val="24"/>
          <w:szCs w:val="24"/>
        </w:rPr>
        <w:t xml:space="preserve"> се осомничени или обвинети лица во кривична постапка.</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Управувањето со детската правда беше подобрено со </w:t>
      </w:r>
      <w:r>
        <w:rPr>
          <w:rFonts w:ascii="Times New Roman" w:hAnsi="Times New Roman"/>
          <w:color w:val="000000"/>
          <w:sz w:val="24"/>
          <w:szCs w:val="24"/>
        </w:rPr>
        <w:t>донесувањето</w:t>
      </w:r>
      <w:r w:rsidRPr="005147EE">
        <w:rPr>
          <w:rFonts w:ascii="Times New Roman" w:hAnsi="Times New Roman"/>
          <w:color w:val="000000"/>
          <w:sz w:val="24"/>
          <w:szCs w:val="24"/>
        </w:rPr>
        <w:t xml:space="preserve"> на Стратегијата за правда за децата 2022</w:t>
      </w:r>
      <w:r>
        <w:rPr>
          <w:rFonts w:ascii="Times New Roman" w:hAnsi="Times New Roman"/>
          <w:color w:val="000000"/>
          <w:sz w:val="24"/>
          <w:szCs w:val="24"/>
        </w:rPr>
        <w:t xml:space="preserve"> – </w:t>
      </w:r>
      <w:r w:rsidRPr="005147EE">
        <w:rPr>
          <w:rFonts w:ascii="Times New Roman" w:hAnsi="Times New Roman"/>
          <w:color w:val="000000"/>
          <w:sz w:val="24"/>
          <w:szCs w:val="24"/>
        </w:rPr>
        <w:t>2026 година и акцискиот план 2022</w:t>
      </w:r>
      <w:r>
        <w:rPr>
          <w:rFonts w:ascii="Times New Roman" w:hAnsi="Times New Roman"/>
          <w:color w:val="000000"/>
          <w:sz w:val="24"/>
          <w:szCs w:val="24"/>
        </w:rPr>
        <w:t xml:space="preserve"> – </w:t>
      </w:r>
      <w:r w:rsidRPr="005147EE">
        <w:rPr>
          <w:rFonts w:ascii="Times New Roman" w:hAnsi="Times New Roman"/>
          <w:color w:val="000000"/>
          <w:sz w:val="24"/>
          <w:szCs w:val="24"/>
        </w:rPr>
        <w:t xml:space="preserve">2023 година, со кои дополнително се унапредуваат алтернативните мерки за старателство и </w:t>
      </w:r>
      <w:r>
        <w:rPr>
          <w:rFonts w:ascii="Times New Roman" w:hAnsi="Times New Roman"/>
          <w:color w:val="000000"/>
          <w:sz w:val="24"/>
          <w:szCs w:val="24"/>
        </w:rPr>
        <w:t xml:space="preserve">за </w:t>
      </w:r>
      <w:r w:rsidRPr="005147EE">
        <w:rPr>
          <w:rFonts w:ascii="Times New Roman" w:hAnsi="Times New Roman"/>
          <w:color w:val="000000"/>
          <w:sz w:val="24"/>
          <w:szCs w:val="24"/>
        </w:rPr>
        <w:t xml:space="preserve">ресоцијализација на децата. Има потреба од конкретни мерки за поддршка на давателите на судска обука и на сите релевантни стручни тела за покривање на правата на детето и правда </w:t>
      </w:r>
      <w:r>
        <w:rPr>
          <w:rFonts w:ascii="Times New Roman" w:hAnsi="Times New Roman"/>
          <w:color w:val="000000"/>
          <w:sz w:val="24"/>
          <w:szCs w:val="24"/>
        </w:rPr>
        <w:t>приспособена</w:t>
      </w:r>
      <w:r w:rsidRPr="005147EE">
        <w:rPr>
          <w:rFonts w:ascii="Times New Roman" w:hAnsi="Times New Roman"/>
          <w:color w:val="000000"/>
          <w:sz w:val="24"/>
          <w:szCs w:val="24"/>
        </w:rPr>
        <w:t xml:space="preserve"> и достапна за децата во нивните активности. Законодавството треба да се измени за да се најдат решенија </w:t>
      </w:r>
      <w:r>
        <w:rPr>
          <w:rFonts w:ascii="Times New Roman" w:hAnsi="Times New Roman"/>
          <w:color w:val="000000"/>
          <w:sz w:val="24"/>
          <w:szCs w:val="24"/>
        </w:rPr>
        <w:t>приспособени</w:t>
      </w:r>
      <w:r w:rsidRPr="005147EE">
        <w:rPr>
          <w:rFonts w:ascii="Times New Roman" w:hAnsi="Times New Roman"/>
          <w:color w:val="000000"/>
          <w:sz w:val="24"/>
          <w:szCs w:val="24"/>
        </w:rPr>
        <w:t xml:space="preserve"> на деца за воспитно-поправните мерки за девојчињата. Воспитно-поправниот дом во Волковија е дом само за млади момчиња; во отсуство на женски оддел, не постои долгорочно решение за задолжителното образование за девојчињата. Потребно е редовно следење и надзор на воспитно-поправниот дом во Тетово и </w:t>
      </w:r>
      <w:r>
        <w:rPr>
          <w:rFonts w:ascii="Times New Roman" w:hAnsi="Times New Roman"/>
          <w:color w:val="000000"/>
          <w:sz w:val="24"/>
          <w:szCs w:val="24"/>
        </w:rPr>
        <w:t xml:space="preserve">на </w:t>
      </w:r>
      <w:r w:rsidRPr="005147EE">
        <w:rPr>
          <w:rFonts w:ascii="Times New Roman" w:hAnsi="Times New Roman"/>
          <w:color w:val="000000"/>
          <w:sz w:val="24"/>
          <w:szCs w:val="24"/>
        </w:rPr>
        <w:t xml:space="preserve">Охридскиот затвор за да се </w:t>
      </w:r>
      <w:r>
        <w:rPr>
          <w:rFonts w:ascii="Times New Roman" w:hAnsi="Times New Roman"/>
          <w:color w:val="000000"/>
          <w:sz w:val="24"/>
          <w:szCs w:val="24"/>
        </w:rPr>
        <w:t>осигури</w:t>
      </w:r>
      <w:r w:rsidRPr="005147EE">
        <w:rPr>
          <w:rFonts w:ascii="Times New Roman" w:hAnsi="Times New Roman"/>
          <w:color w:val="000000"/>
          <w:sz w:val="24"/>
          <w:szCs w:val="24"/>
        </w:rPr>
        <w:t xml:space="preserve"> дека органите обезбедуваат соодветна заштита и други услуги за децата </w:t>
      </w:r>
      <w:r>
        <w:rPr>
          <w:rFonts w:ascii="Times New Roman" w:hAnsi="Times New Roman"/>
          <w:color w:val="000000"/>
          <w:sz w:val="24"/>
          <w:szCs w:val="24"/>
        </w:rPr>
        <w:t>што</w:t>
      </w:r>
      <w:r w:rsidRPr="005147EE">
        <w:rPr>
          <w:rFonts w:ascii="Times New Roman" w:hAnsi="Times New Roman"/>
          <w:color w:val="000000"/>
          <w:sz w:val="24"/>
          <w:szCs w:val="24"/>
        </w:rPr>
        <w:t xml:space="preserve"> се затворени таму. </w:t>
      </w:r>
      <w:r w:rsidRPr="005147EE">
        <w:rPr>
          <w:rFonts w:ascii="Times New Roman" w:hAnsi="Times New Roman"/>
          <w:sz w:val="24"/>
          <w:szCs w:val="24"/>
        </w:rPr>
        <w:t xml:space="preserve">Пристапот до правдата и правното застапување, како и капацитетот на јавните службеници </w:t>
      </w:r>
      <w:r>
        <w:rPr>
          <w:rFonts w:ascii="Times New Roman" w:hAnsi="Times New Roman"/>
          <w:sz w:val="24"/>
          <w:szCs w:val="24"/>
        </w:rPr>
        <w:t>што</w:t>
      </w:r>
      <w:r w:rsidRPr="005147EE">
        <w:rPr>
          <w:rFonts w:ascii="Times New Roman" w:hAnsi="Times New Roman"/>
          <w:sz w:val="24"/>
          <w:szCs w:val="24"/>
        </w:rPr>
        <w:t xml:space="preserve"> работат со деца жртви, деца сведоци и деца во судир со законот и понатаму се несоодветни.</w:t>
      </w:r>
      <w:r w:rsidRPr="005147EE">
        <w:rPr>
          <w:rFonts w:ascii="Times New Roman" w:hAnsi="Times New Roman"/>
          <w:color w:val="000000"/>
          <w:sz w:val="24"/>
          <w:szCs w:val="24"/>
        </w:rPr>
        <w:t xml:space="preserve"> Професионалците за малолетничка правда треба да преземат поконзистентен меѓусекторски и рационализиран пристап за спроведување на правната рамка.</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Правата на </w:t>
      </w:r>
      <w:r w:rsidRPr="005147EE">
        <w:rPr>
          <w:rFonts w:ascii="Times New Roman" w:hAnsi="Times New Roman"/>
          <w:b/>
          <w:bCs/>
          <w:color w:val="000000"/>
          <w:sz w:val="24"/>
          <w:szCs w:val="24"/>
        </w:rPr>
        <w:t>лицата со попреченост</w:t>
      </w:r>
      <w:r w:rsidRPr="005147EE">
        <w:rPr>
          <w:rFonts w:ascii="Times New Roman" w:hAnsi="Times New Roman"/>
          <w:color w:val="000000"/>
          <w:sz w:val="24"/>
          <w:szCs w:val="24"/>
        </w:rPr>
        <w:t xml:space="preserve"> се уставно загарантирани и дополнително подетално уредени со Законот за спречување и заштита од дискриминација. </w:t>
      </w:r>
      <w:r>
        <w:rPr>
          <w:rFonts w:ascii="Times New Roman" w:hAnsi="Times New Roman"/>
          <w:color w:val="000000"/>
          <w:sz w:val="24"/>
          <w:szCs w:val="24"/>
        </w:rPr>
        <w:t>Многубројни</w:t>
      </w:r>
      <w:r w:rsidRPr="005147EE">
        <w:rPr>
          <w:rFonts w:ascii="Times New Roman" w:hAnsi="Times New Roman"/>
          <w:color w:val="000000"/>
          <w:sz w:val="24"/>
          <w:szCs w:val="24"/>
        </w:rPr>
        <w:t xml:space="preserve"> други закони </w:t>
      </w:r>
      <w:r>
        <w:rPr>
          <w:rFonts w:ascii="Times New Roman" w:hAnsi="Times New Roman"/>
          <w:color w:val="000000"/>
          <w:sz w:val="24"/>
          <w:szCs w:val="24"/>
        </w:rPr>
        <w:t>што</w:t>
      </w:r>
      <w:r w:rsidRPr="005147EE">
        <w:rPr>
          <w:rFonts w:ascii="Times New Roman" w:hAnsi="Times New Roman"/>
          <w:color w:val="000000"/>
          <w:sz w:val="24"/>
          <w:szCs w:val="24"/>
        </w:rPr>
        <w:t xml:space="preserve"> конкретно ја уредуваат социјалната политика и помош се исто така релевантни во овој контекст. </w:t>
      </w:r>
      <w:r>
        <w:rPr>
          <w:rFonts w:ascii="Times New Roman" w:hAnsi="Times New Roman"/>
          <w:color w:val="000000"/>
          <w:sz w:val="24"/>
          <w:szCs w:val="24"/>
        </w:rPr>
        <w:t>Донесена</w:t>
      </w:r>
      <w:r w:rsidRPr="005147EE">
        <w:rPr>
          <w:rFonts w:ascii="Times New Roman" w:hAnsi="Times New Roman"/>
          <w:color w:val="000000"/>
          <w:sz w:val="24"/>
          <w:szCs w:val="24"/>
        </w:rPr>
        <w:t xml:space="preserve"> е новата Национална стратегија за правата на лицата со попреченост за 2023</w:t>
      </w:r>
      <w:r>
        <w:rPr>
          <w:rFonts w:ascii="Times New Roman" w:hAnsi="Times New Roman"/>
          <w:color w:val="000000"/>
          <w:sz w:val="24"/>
          <w:szCs w:val="24"/>
        </w:rPr>
        <w:t xml:space="preserve"> – </w:t>
      </w:r>
      <w:r w:rsidRPr="005147EE">
        <w:rPr>
          <w:rFonts w:ascii="Times New Roman" w:hAnsi="Times New Roman"/>
          <w:color w:val="000000"/>
          <w:sz w:val="24"/>
          <w:szCs w:val="24"/>
        </w:rPr>
        <w:t>2030 година, заедно со акцискиот документ за 2023</w:t>
      </w:r>
      <w:r>
        <w:rPr>
          <w:rFonts w:ascii="Times New Roman" w:hAnsi="Times New Roman"/>
          <w:color w:val="000000"/>
          <w:sz w:val="24"/>
          <w:szCs w:val="24"/>
        </w:rPr>
        <w:t xml:space="preserve"> – </w:t>
      </w:r>
      <w:r w:rsidRPr="005147EE">
        <w:rPr>
          <w:rFonts w:ascii="Times New Roman" w:hAnsi="Times New Roman"/>
          <w:color w:val="000000"/>
          <w:sz w:val="24"/>
          <w:szCs w:val="24"/>
        </w:rPr>
        <w:t xml:space="preserve">2025 година. Беа </w:t>
      </w:r>
      <w:r>
        <w:rPr>
          <w:rFonts w:ascii="Times New Roman" w:hAnsi="Times New Roman"/>
          <w:color w:val="000000"/>
          <w:sz w:val="24"/>
          <w:szCs w:val="24"/>
        </w:rPr>
        <w:t>донесени</w:t>
      </w:r>
      <w:r w:rsidRPr="005147EE">
        <w:rPr>
          <w:rFonts w:ascii="Times New Roman" w:hAnsi="Times New Roman"/>
          <w:color w:val="000000"/>
          <w:sz w:val="24"/>
          <w:szCs w:val="24"/>
        </w:rPr>
        <w:t xml:space="preserve"> правила за функционална процена на децата со попреченост според меѓународната класификација за функционирање, попреченост и здравје. Правилата се во согласност со Конвенцијата за правата на лицата со попреченост (КПЛП) и ќе овозможат да се дава помош врз основа на </w:t>
      </w:r>
      <w:r>
        <w:rPr>
          <w:rFonts w:ascii="Times New Roman" w:hAnsi="Times New Roman"/>
          <w:color w:val="000000"/>
          <w:sz w:val="24"/>
          <w:szCs w:val="24"/>
        </w:rPr>
        <w:t>поединечните</w:t>
      </w:r>
      <w:r w:rsidRPr="005147EE">
        <w:rPr>
          <w:rFonts w:ascii="Times New Roman" w:hAnsi="Times New Roman"/>
          <w:color w:val="000000"/>
          <w:sz w:val="24"/>
          <w:szCs w:val="24"/>
        </w:rPr>
        <w:t xml:space="preserve"> потреби на децата. Продолжува спроведувањето на Националната стратегија за деинституционализација за 2018</w:t>
      </w:r>
      <w:r>
        <w:rPr>
          <w:rFonts w:ascii="Times New Roman" w:hAnsi="Times New Roman"/>
          <w:color w:val="000000"/>
          <w:sz w:val="24"/>
          <w:szCs w:val="24"/>
        </w:rPr>
        <w:t xml:space="preserve"> – </w:t>
      </w:r>
      <w:r w:rsidRPr="005147EE">
        <w:rPr>
          <w:rFonts w:ascii="Times New Roman" w:hAnsi="Times New Roman"/>
          <w:color w:val="000000"/>
          <w:sz w:val="24"/>
          <w:szCs w:val="24"/>
        </w:rPr>
        <w:t xml:space="preserve">2027 година. Ова вклучува транзиција од институционална грижа кон грижа од семејство и </w:t>
      </w:r>
      <w:r>
        <w:rPr>
          <w:rFonts w:ascii="Times New Roman" w:hAnsi="Times New Roman"/>
          <w:color w:val="000000"/>
          <w:sz w:val="24"/>
          <w:szCs w:val="24"/>
        </w:rPr>
        <w:t xml:space="preserve">од </w:t>
      </w:r>
      <w:r w:rsidRPr="005147EE">
        <w:rPr>
          <w:rFonts w:ascii="Times New Roman" w:hAnsi="Times New Roman"/>
          <w:color w:val="000000"/>
          <w:sz w:val="24"/>
          <w:szCs w:val="24"/>
        </w:rPr>
        <w:t xml:space="preserve">заедницата со поддршка од социјалните служби. Националното координативно тело за спроведување на КПЛП се состои од претставници од релевантните министерства и двајца претставници на ГО за лица со попреченост. Во Канцеларијата на Народниот правобранител е додаден тим за следење на спроведувањето. Новиот Закон за основно образование ја унапредува целосната вклученост на учениците со попреченост преку трансформирање на специјалните училишта и паралелки во центри за поддршка на учењето. Повеќе нема деца со попреченост во големи установи за социјална грижа. За поддршка на нормализирањето на образованието за децата со попреченост, вработени се 725 образовни асистенти, кои опфаќаат 850 деца. Одреден број возрасни лица со попреченост постепено се вдомуваат во 57 новоформирани станбени единици за поддржано живеење. Исто така, воспоставени се услуги за домашна нега и </w:t>
      </w:r>
      <w:r>
        <w:rPr>
          <w:rFonts w:ascii="Times New Roman" w:hAnsi="Times New Roman"/>
          <w:color w:val="000000"/>
          <w:sz w:val="24"/>
          <w:szCs w:val="24"/>
        </w:rPr>
        <w:t xml:space="preserve">за </w:t>
      </w:r>
      <w:r w:rsidRPr="005147EE">
        <w:rPr>
          <w:rFonts w:ascii="Times New Roman" w:hAnsi="Times New Roman"/>
          <w:color w:val="000000"/>
          <w:sz w:val="24"/>
          <w:szCs w:val="24"/>
        </w:rPr>
        <w:t xml:space="preserve">дневен престој. </w:t>
      </w:r>
      <w:r w:rsidRPr="005147EE">
        <w:rPr>
          <w:rFonts w:ascii="Times New Roman" w:hAnsi="Times New Roman"/>
          <w:i/>
          <w:iCs/>
          <w:color w:val="000000"/>
          <w:sz w:val="24"/>
          <w:szCs w:val="24"/>
        </w:rPr>
        <w:t>(вид</w:t>
      </w:r>
      <w:r w:rsidR="00652875">
        <w:rPr>
          <w:rFonts w:ascii="Times New Roman" w:hAnsi="Times New Roman"/>
          <w:i/>
          <w:iCs/>
          <w:color w:val="000000"/>
          <w:sz w:val="24"/>
          <w:szCs w:val="24"/>
        </w:rPr>
        <w:t>ете</w:t>
      </w:r>
      <w:r w:rsidRPr="005147EE">
        <w:rPr>
          <w:rFonts w:ascii="Times New Roman" w:hAnsi="Times New Roman"/>
          <w:i/>
          <w:iCs/>
          <w:color w:val="000000"/>
          <w:sz w:val="24"/>
          <w:szCs w:val="24"/>
        </w:rPr>
        <w:t xml:space="preserve"> Поглавје 19 – Социјална политика и вработување за аспекти поврзани со социјалните услуги, помошта и бенефициите).</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Во општеството преовладуваат негативни стереотипи и говор на омраза кон </w:t>
      </w:r>
      <w:r w:rsidRPr="005147EE">
        <w:rPr>
          <w:rFonts w:ascii="Times New Roman" w:hAnsi="Times New Roman"/>
          <w:b/>
          <w:bCs/>
          <w:color w:val="000000"/>
          <w:sz w:val="24"/>
          <w:szCs w:val="24"/>
        </w:rPr>
        <w:t>лезбијките, геј-мажите, бисексуалците, трансродовите, интерсекс и квир (ЛГБТИК)</w:t>
      </w:r>
      <w:r w:rsidRPr="005147EE">
        <w:rPr>
          <w:rFonts w:ascii="Times New Roman" w:hAnsi="Times New Roman"/>
          <w:color w:val="000000"/>
          <w:sz w:val="24"/>
          <w:szCs w:val="24"/>
        </w:rPr>
        <w:t xml:space="preserve"> лицата. Немаше напредок во отстранувањето на негативните стереотипи и говорот на омраза кон ЛГБТИК-лицата од учебниците, ниту во </w:t>
      </w:r>
      <w:r>
        <w:rPr>
          <w:rFonts w:ascii="Times New Roman" w:hAnsi="Times New Roman"/>
          <w:color w:val="000000"/>
          <w:sz w:val="24"/>
          <w:szCs w:val="24"/>
        </w:rPr>
        <w:t>донесувањето</w:t>
      </w:r>
      <w:r w:rsidRPr="005147EE">
        <w:rPr>
          <w:rFonts w:ascii="Times New Roman" w:hAnsi="Times New Roman"/>
          <w:color w:val="000000"/>
          <w:sz w:val="24"/>
          <w:szCs w:val="24"/>
        </w:rPr>
        <w:t xml:space="preserve"> на национален акциски план за ЛГБТИК како дел од систематското унапредување на еднаквоста и спречувањето на дискриминацијата. Нема напредок во спроведувањето на пресудата на ЕСЧП (од јануари 2019 година) во врска со законското признавање на родот преку изменување на Законот за матичната евиденција. Правната рамка не дозволува </w:t>
      </w:r>
      <w:r>
        <w:rPr>
          <w:rFonts w:ascii="Times New Roman" w:hAnsi="Times New Roman"/>
          <w:color w:val="000000"/>
          <w:sz w:val="24"/>
          <w:szCs w:val="24"/>
        </w:rPr>
        <w:t>службено</w:t>
      </w:r>
      <w:r w:rsidRPr="005147EE">
        <w:rPr>
          <w:rFonts w:ascii="Times New Roman" w:hAnsi="Times New Roman"/>
          <w:color w:val="000000"/>
          <w:sz w:val="24"/>
          <w:szCs w:val="24"/>
        </w:rPr>
        <w:t xml:space="preserve"> признавање истополови двојки.</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Не беше постигнат напредок во истрагите за нападите врз ЛГБТИК-центарот за поддршка, кои се случија во 2012, 2013 и 2014 година. Агенциите за спроведување на законот не ги истражија вандалските </w:t>
      </w:r>
      <w:r>
        <w:rPr>
          <w:rFonts w:ascii="Times New Roman" w:hAnsi="Times New Roman"/>
          <w:color w:val="000000"/>
          <w:sz w:val="24"/>
          <w:szCs w:val="24"/>
        </w:rPr>
        <w:t>дејства</w:t>
      </w:r>
      <w:r w:rsidRPr="005147EE">
        <w:rPr>
          <w:rFonts w:ascii="Times New Roman" w:hAnsi="Times New Roman"/>
          <w:color w:val="000000"/>
          <w:sz w:val="24"/>
          <w:szCs w:val="24"/>
        </w:rPr>
        <w:t xml:space="preserve"> </w:t>
      </w:r>
      <w:r>
        <w:rPr>
          <w:rFonts w:ascii="Times New Roman" w:hAnsi="Times New Roman"/>
          <w:color w:val="000000"/>
          <w:sz w:val="24"/>
          <w:szCs w:val="24"/>
        </w:rPr>
        <w:t>врз</w:t>
      </w:r>
      <w:r w:rsidRPr="005147EE">
        <w:rPr>
          <w:rFonts w:ascii="Times New Roman" w:hAnsi="Times New Roman"/>
          <w:color w:val="000000"/>
          <w:sz w:val="24"/>
          <w:szCs w:val="24"/>
        </w:rPr>
        <w:t xml:space="preserve"> канцеларијата на ЛГБТИК-организација во Тетово, ниту смртните закани упатени кон активистите. Судот во Струмица изрече шестмесечна затворска казна за напад врз ЛГБТИ-активист. Во јуни 2023 година органите помогнаа за успешно организирање на ЛГБТИК</w:t>
      </w:r>
      <w:r>
        <w:rPr>
          <w:rFonts w:ascii="Times New Roman" w:hAnsi="Times New Roman"/>
          <w:color w:val="000000"/>
          <w:sz w:val="24"/>
          <w:szCs w:val="24"/>
        </w:rPr>
        <w:t xml:space="preserve"> – </w:t>
      </w:r>
      <w:r w:rsidRPr="005147EE">
        <w:rPr>
          <w:rFonts w:ascii="Times New Roman" w:hAnsi="Times New Roman"/>
          <w:color w:val="000000"/>
          <w:sz w:val="24"/>
          <w:szCs w:val="24"/>
        </w:rPr>
        <w:t>Парада на гордоста.</w:t>
      </w:r>
      <w:r w:rsidRPr="005147EE">
        <w:rPr>
          <w:rFonts w:ascii="Times New Roman" w:hAnsi="Times New Roman"/>
          <w:i/>
          <w:iCs/>
          <w:color w:val="000000"/>
          <w:sz w:val="24"/>
          <w:szCs w:val="24"/>
        </w:rPr>
        <w:t xml:space="preserve"> </w:t>
      </w:r>
      <w:r w:rsidRPr="005147EE">
        <w:rPr>
          <w:rFonts w:ascii="Times New Roman" w:hAnsi="Times New Roman"/>
          <w:color w:val="000000"/>
          <w:sz w:val="24"/>
          <w:szCs w:val="24"/>
        </w:rPr>
        <w:t xml:space="preserve">Сепак, ГО и ЛГБТИК-активистите ги критикуваат органите дека го намалуваат просторот за ГО, особено оние </w:t>
      </w:r>
      <w:r>
        <w:rPr>
          <w:rFonts w:ascii="Times New Roman" w:hAnsi="Times New Roman"/>
          <w:color w:val="000000"/>
          <w:sz w:val="24"/>
          <w:szCs w:val="24"/>
        </w:rPr>
        <w:t>што</w:t>
      </w:r>
      <w:r w:rsidRPr="005147EE">
        <w:rPr>
          <w:rFonts w:ascii="Times New Roman" w:hAnsi="Times New Roman"/>
          <w:color w:val="000000"/>
          <w:sz w:val="24"/>
          <w:szCs w:val="24"/>
        </w:rPr>
        <w:t xml:space="preserve"> работат на сексуалните и </w:t>
      </w:r>
      <w:r>
        <w:rPr>
          <w:rFonts w:ascii="Times New Roman" w:hAnsi="Times New Roman"/>
          <w:color w:val="000000"/>
          <w:sz w:val="24"/>
          <w:szCs w:val="24"/>
        </w:rPr>
        <w:t xml:space="preserve">на </w:t>
      </w:r>
      <w:r w:rsidRPr="005147EE">
        <w:rPr>
          <w:rFonts w:ascii="Times New Roman" w:hAnsi="Times New Roman"/>
          <w:color w:val="000000"/>
          <w:sz w:val="24"/>
          <w:szCs w:val="24"/>
        </w:rPr>
        <w:t xml:space="preserve">репродуктивните права. Растечката анти-ЛГБТИК реторика, на која понекогаш </w:t>
      </w:r>
      <w:r>
        <w:rPr>
          <w:rFonts w:ascii="Times New Roman" w:hAnsi="Times New Roman"/>
          <w:color w:val="000000"/>
          <w:sz w:val="24"/>
          <w:szCs w:val="24"/>
        </w:rPr>
        <w:t xml:space="preserve">ѝ </w:t>
      </w:r>
      <w:r w:rsidRPr="005147EE">
        <w:rPr>
          <w:rFonts w:ascii="Times New Roman" w:hAnsi="Times New Roman"/>
          <w:color w:val="000000"/>
          <w:sz w:val="24"/>
          <w:szCs w:val="24"/>
        </w:rPr>
        <w:t>се придружуваат политички и религиозни фигури, доведе до зголемена нетолеранција и говор на омраза во општеството. Потребни се сериозни напори за да им се овозможи на ЛГБТИК-лицата да ги уживаат своите права.</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Во врска со </w:t>
      </w:r>
      <w:r w:rsidRPr="005147EE">
        <w:rPr>
          <w:rFonts w:ascii="Times New Roman" w:hAnsi="Times New Roman"/>
          <w:b/>
          <w:bCs/>
          <w:color w:val="000000"/>
          <w:sz w:val="24"/>
          <w:szCs w:val="24"/>
        </w:rPr>
        <w:t>процедуралните права</w:t>
      </w:r>
      <w:r w:rsidRPr="005147EE">
        <w:rPr>
          <w:rFonts w:ascii="Times New Roman" w:hAnsi="Times New Roman"/>
          <w:color w:val="000000"/>
          <w:sz w:val="24"/>
          <w:szCs w:val="24"/>
        </w:rPr>
        <w:t xml:space="preserve">, земјата и понатаму е делумно усогласена со </w:t>
      </w:r>
      <w:r w:rsidRPr="005147EE">
        <w:rPr>
          <w:rFonts w:ascii="Times New Roman" w:hAnsi="Times New Roman"/>
          <w:i/>
          <w:iCs/>
          <w:color w:val="000000"/>
          <w:sz w:val="24"/>
          <w:szCs w:val="24"/>
        </w:rPr>
        <w:t>правото</w:t>
      </w:r>
      <w:r w:rsidRPr="005147EE">
        <w:rPr>
          <w:rFonts w:ascii="Times New Roman" w:hAnsi="Times New Roman"/>
          <w:color w:val="000000"/>
          <w:sz w:val="24"/>
          <w:szCs w:val="24"/>
        </w:rPr>
        <w:t xml:space="preserve"> на ЕУ. Законот за исплата на паричен надоместок на жртви од кривични дела со насилство беше </w:t>
      </w:r>
      <w:r>
        <w:rPr>
          <w:rFonts w:ascii="Times New Roman" w:hAnsi="Times New Roman"/>
          <w:color w:val="000000"/>
          <w:sz w:val="24"/>
          <w:szCs w:val="24"/>
        </w:rPr>
        <w:t>донесен</w:t>
      </w:r>
      <w:r w:rsidRPr="005147EE">
        <w:rPr>
          <w:rFonts w:ascii="Times New Roman" w:hAnsi="Times New Roman"/>
          <w:color w:val="000000"/>
          <w:sz w:val="24"/>
          <w:szCs w:val="24"/>
        </w:rPr>
        <w:t xml:space="preserve"> од Собранието и влезе во сила во мај 2023 година.</w:t>
      </w:r>
    </w:p>
    <w:p w:rsidR="009768C4" w:rsidRPr="005147EE" w:rsidRDefault="009768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Земјата има солидна мрежа </w:t>
      </w:r>
      <w:r>
        <w:rPr>
          <w:rFonts w:ascii="Times New Roman" w:hAnsi="Times New Roman"/>
          <w:color w:val="000000"/>
          <w:sz w:val="24"/>
          <w:szCs w:val="24"/>
        </w:rPr>
        <w:t>што</w:t>
      </w:r>
      <w:r w:rsidRPr="005147EE">
        <w:rPr>
          <w:rFonts w:ascii="Times New Roman" w:hAnsi="Times New Roman"/>
          <w:color w:val="000000"/>
          <w:sz w:val="24"/>
          <w:szCs w:val="24"/>
        </w:rPr>
        <w:t xml:space="preserve"> обезбедува примарна и секундарна бесплатна правна помош за оние </w:t>
      </w:r>
      <w:r>
        <w:rPr>
          <w:rFonts w:ascii="Times New Roman" w:hAnsi="Times New Roman"/>
          <w:color w:val="000000"/>
          <w:sz w:val="24"/>
          <w:szCs w:val="24"/>
        </w:rPr>
        <w:t>што</w:t>
      </w:r>
      <w:r w:rsidRPr="005147EE">
        <w:rPr>
          <w:rFonts w:ascii="Times New Roman" w:hAnsi="Times New Roman"/>
          <w:color w:val="000000"/>
          <w:sz w:val="24"/>
          <w:szCs w:val="24"/>
        </w:rPr>
        <w:t xml:space="preserve"> не можат да си дозволат да ангажираат адвокат. Бесплатната правна помош е достапна преку 34 подрачни единици на Министерството за правда, граѓански здруженија овластени да даваат правна помош, правни клиники во рамките на правните факултети и адвокати сертифицирани за давање секундарна правна помош. </w:t>
      </w:r>
      <w:r>
        <w:rPr>
          <w:rFonts w:ascii="Times New Roman" w:hAnsi="Times New Roman"/>
          <w:color w:val="000000"/>
          <w:sz w:val="24"/>
          <w:szCs w:val="24"/>
        </w:rPr>
        <w:t>Н</w:t>
      </w:r>
      <w:r w:rsidRPr="005147EE">
        <w:rPr>
          <w:rFonts w:ascii="Times New Roman" w:hAnsi="Times New Roman"/>
          <w:color w:val="000000"/>
          <w:sz w:val="24"/>
          <w:szCs w:val="24"/>
        </w:rPr>
        <w:t xml:space="preserve">а веб-страницата на Министерството за правда </w:t>
      </w:r>
      <w:r>
        <w:rPr>
          <w:rFonts w:ascii="Times New Roman" w:hAnsi="Times New Roman"/>
          <w:color w:val="000000"/>
          <w:sz w:val="24"/>
          <w:szCs w:val="24"/>
        </w:rPr>
        <w:t>е достапен р</w:t>
      </w:r>
      <w:r w:rsidRPr="005147EE">
        <w:rPr>
          <w:rFonts w:ascii="Times New Roman" w:hAnsi="Times New Roman"/>
          <w:color w:val="000000"/>
          <w:sz w:val="24"/>
          <w:szCs w:val="24"/>
        </w:rPr>
        <w:t xml:space="preserve">егистар на здруженија и </w:t>
      </w:r>
      <w:r>
        <w:rPr>
          <w:rFonts w:ascii="Times New Roman" w:hAnsi="Times New Roman"/>
          <w:color w:val="000000"/>
          <w:sz w:val="24"/>
          <w:szCs w:val="24"/>
        </w:rPr>
        <w:t xml:space="preserve">на </w:t>
      </w:r>
      <w:r w:rsidRPr="005147EE">
        <w:rPr>
          <w:rFonts w:ascii="Times New Roman" w:hAnsi="Times New Roman"/>
          <w:color w:val="000000"/>
          <w:sz w:val="24"/>
          <w:szCs w:val="24"/>
        </w:rPr>
        <w:t xml:space="preserve">самостојни адвокати </w:t>
      </w:r>
      <w:r>
        <w:rPr>
          <w:rFonts w:ascii="Times New Roman" w:hAnsi="Times New Roman"/>
          <w:color w:val="000000"/>
          <w:sz w:val="24"/>
          <w:szCs w:val="24"/>
        </w:rPr>
        <w:t>што</w:t>
      </w:r>
      <w:r w:rsidRPr="005147EE">
        <w:rPr>
          <w:rFonts w:ascii="Times New Roman" w:hAnsi="Times New Roman"/>
          <w:color w:val="000000"/>
          <w:sz w:val="24"/>
          <w:szCs w:val="24"/>
        </w:rPr>
        <w:t xml:space="preserve"> даваат правна помош. </w:t>
      </w:r>
      <w:r>
        <w:rPr>
          <w:rFonts w:ascii="Times New Roman" w:hAnsi="Times New Roman"/>
          <w:color w:val="000000"/>
          <w:sz w:val="24"/>
          <w:szCs w:val="24"/>
        </w:rPr>
        <w:t>Б</w:t>
      </w:r>
      <w:r w:rsidRPr="005147EE">
        <w:rPr>
          <w:rFonts w:ascii="Times New Roman" w:hAnsi="Times New Roman"/>
          <w:color w:val="000000"/>
          <w:sz w:val="24"/>
          <w:szCs w:val="24"/>
        </w:rPr>
        <w:t>еа поднесени и одобрени</w:t>
      </w:r>
      <w:r>
        <w:rPr>
          <w:rFonts w:ascii="Times New Roman" w:hAnsi="Times New Roman"/>
          <w:color w:val="000000"/>
          <w:sz w:val="24"/>
          <w:szCs w:val="24"/>
        </w:rPr>
        <w:t xml:space="preserve"> з</w:t>
      </w:r>
      <w:r w:rsidRPr="005147EE">
        <w:rPr>
          <w:rFonts w:ascii="Times New Roman" w:hAnsi="Times New Roman"/>
          <w:color w:val="000000"/>
          <w:sz w:val="24"/>
          <w:szCs w:val="24"/>
        </w:rPr>
        <w:t xml:space="preserve">големен број барања за примарна и </w:t>
      </w:r>
      <w:r>
        <w:rPr>
          <w:rFonts w:ascii="Times New Roman" w:hAnsi="Times New Roman"/>
          <w:color w:val="000000"/>
          <w:sz w:val="24"/>
          <w:szCs w:val="24"/>
        </w:rPr>
        <w:t xml:space="preserve">за </w:t>
      </w:r>
      <w:r w:rsidRPr="005147EE">
        <w:rPr>
          <w:rFonts w:ascii="Times New Roman" w:hAnsi="Times New Roman"/>
          <w:color w:val="000000"/>
          <w:sz w:val="24"/>
          <w:szCs w:val="24"/>
        </w:rPr>
        <w:t>секундарна правна помош. Системот на правна помош во кривичната постапка треба да се реформира за да се подобри пристапот до правда. Најмногу од сè, органите треба да ги ревидираат критериумите за подобност за правна помош во кривичната постапка (за задолжителна одбрана, одбрана на сиромашни лица и застапување на интересите на жртвите на криминал). Буџетот доделен за правна помош во 2022 година изнесува 616</w:t>
      </w:r>
      <w:r>
        <w:rPr>
          <w:rFonts w:ascii="Times New Roman" w:hAnsi="Times New Roman"/>
          <w:color w:val="000000"/>
          <w:sz w:val="24"/>
          <w:szCs w:val="24"/>
        </w:rPr>
        <w:t>.</w:t>
      </w:r>
      <w:r w:rsidRPr="005147EE">
        <w:rPr>
          <w:rFonts w:ascii="Times New Roman" w:hAnsi="Times New Roman"/>
          <w:color w:val="000000"/>
          <w:sz w:val="24"/>
          <w:szCs w:val="24"/>
        </w:rPr>
        <w:t>304 евра, додека реализираниот буџет изнесува 521</w:t>
      </w:r>
      <w:r>
        <w:rPr>
          <w:rFonts w:ascii="Times New Roman" w:hAnsi="Times New Roman"/>
          <w:color w:val="000000"/>
          <w:sz w:val="24"/>
          <w:szCs w:val="24"/>
        </w:rPr>
        <w:t>.</w:t>
      </w:r>
      <w:r w:rsidRPr="005147EE">
        <w:rPr>
          <w:rFonts w:ascii="Times New Roman" w:hAnsi="Times New Roman"/>
          <w:color w:val="000000"/>
          <w:sz w:val="24"/>
          <w:szCs w:val="24"/>
        </w:rPr>
        <w:t>612 евра (зголемување од 0,7</w:t>
      </w:r>
      <w:r>
        <w:rPr>
          <w:rFonts w:ascii="Times New Roman" w:hAnsi="Times New Roman"/>
          <w:color w:val="000000"/>
          <w:sz w:val="24"/>
          <w:szCs w:val="24"/>
        </w:rPr>
        <w:t xml:space="preserve"> </w:t>
      </w:r>
      <w:r w:rsidRPr="005147EE">
        <w:rPr>
          <w:rFonts w:ascii="Times New Roman" w:hAnsi="Times New Roman"/>
          <w:color w:val="000000"/>
          <w:sz w:val="24"/>
          <w:szCs w:val="24"/>
        </w:rPr>
        <w:t>% во споредба со 2021 година).</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Земјата </w:t>
      </w:r>
      <w:r>
        <w:rPr>
          <w:rFonts w:ascii="Times New Roman" w:hAnsi="Times New Roman"/>
          <w:color w:val="000000"/>
          <w:sz w:val="24"/>
          <w:szCs w:val="24"/>
        </w:rPr>
        <w:t>с</w:t>
      </w:r>
      <w:r w:rsidRPr="009768C4">
        <w:rPr>
          <w:rFonts w:ascii="Times New Roman" w:hAnsi="Times New Roman"/>
          <w:color w:val="000000"/>
          <w:sz w:val="24"/>
          <w:szCs w:val="24"/>
          <w:lang w:val="ru-RU"/>
        </w:rPr>
        <w:t>è</w:t>
      </w:r>
      <w:r w:rsidRPr="005147EE">
        <w:rPr>
          <w:rFonts w:ascii="Times New Roman" w:hAnsi="Times New Roman"/>
          <w:color w:val="000000"/>
          <w:sz w:val="24"/>
          <w:szCs w:val="24"/>
        </w:rPr>
        <w:t xml:space="preserve"> уште не е усогласена со Директивата за европски наредби за заштита. Потребни се дополнителни измени на Законот за кривична постапка за да се обезбеди усогласување со Директивата за правата на жртвите (на пример, во однос на </w:t>
      </w:r>
      <w:r>
        <w:rPr>
          <w:rFonts w:ascii="Times New Roman" w:hAnsi="Times New Roman"/>
          <w:color w:val="000000"/>
          <w:sz w:val="24"/>
          <w:szCs w:val="24"/>
        </w:rPr>
        <w:t>поединечната</w:t>
      </w:r>
      <w:r w:rsidRPr="005147EE">
        <w:rPr>
          <w:rFonts w:ascii="Times New Roman" w:hAnsi="Times New Roman"/>
          <w:color w:val="000000"/>
          <w:sz w:val="24"/>
          <w:szCs w:val="24"/>
        </w:rPr>
        <w:t xml:space="preserve"> процена на жртвите). Законот за исплата на паричен надоместок на жртви </w:t>
      </w:r>
      <w:r>
        <w:rPr>
          <w:rFonts w:ascii="Times New Roman" w:hAnsi="Times New Roman"/>
          <w:color w:val="000000"/>
          <w:sz w:val="24"/>
          <w:szCs w:val="24"/>
        </w:rPr>
        <w:t>на</w:t>
      </w:r>
      <w:r w:rsidRPr="005147EE">
        <w:rPr>
          <w:rFonts w:ascii="Times New Roman" w:hAnsi="Times New Roman"/>
          <w:color w:val="000000"/>
          <w:sz w:val="24"/>
          <w:szCs w:val="24"/>
        </w:rPr>
        <w:t xml:space="preserve"> кривични дела со насилство стапи на сила во мај 2023 година. Ова ги вклучува жртвите на трговија со луѓе. Органите, исто така, треба да преземат конкретни чекори за донесување законодавство во согласност со Директивата за процесни заштитни мерки за деца што се осомничени или обвинети лица во кривични постапки.</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Во однос на </w:t>
      </w:r>
      <w:r w:rsidRPr="005147EE">
        <w:rPr>
          <w:rFonts w:ascii="Times New Roman" w:hAnsi="Times New Roman"/>
          <w:b/>
          <w:bCs/>
          <w:color w:val="000000"/>
          <w:sz w:val="24"/>
          <w:szCs w:val="24"/>
        </w:rPr>
        <w:t>заштитата на малцинствата</w:t>
      </w:r>
      <w:r w:rsidRPr="005147EE">
        <w:rPr>
          <w:rFonts w:ascii="Times New Roman" w:hAnsi="Times New Roman"/>
          <w:color w:val="000000"/>
          <w:sz w:val="24"/>
          <w:szCs w:val="24"/>
        </w:rPr>
        <w:t>, органите продолжија со делумно спроведување на националната стратегија за унапредување на мултиетничк</w:t>
      </w:r>
      <w:r>
        <w:rPr>
          <w:rFonts w:ascii="Times New Roman" w:hAnsi="Times New Roman"/>
          <w:color w:val="000000"/>
          <w:sz w:val="24"/>
          <w:szCs w:val="24"/>
        </w:rPr>
        <w:t>о</w:t>
      </w:r>
      <w:r w:rsidRPr="005147EE">
        <w:rPr>
          <w:rFonts w:ascii="Times New Roman" w:hAnsi="Times New Roman"/>
          <w:color w:val="000000"/>
          <w:sz w:val="24"/>
          <w:szCs w:val="24"/>
        </w:rPr>
        <w:t xml:space="preserve"> општество „Едно општество за сите и интеркултурализам“. Сепак, потребни се дополнителни напори за да се обезбеди доволно политичка поддршка, координација помеѓу релевантните органи, соодветни финансиски и други ресурси, со цел да се унапредуваат еднаквите можности и да се подобри социјалната кохезија во земјата. Агенцијата за примена на јазикот и Агенцијата за остварување на правата на заедниците остануваат со недоволно вработени и се недоволно финансирани. Постои потреба од обука и вработување преведувачи и толкувачи. Потребни се дополнителни напори за зајакнување на финансиската независност на овие две институции, што ќе ја подобри нивната способност да се спротивстават на политичкото влијание. Застапеноста на немнозинските заедници на локално ниво останува слаба. Органите треба да ја спроведат препораката издадена од Советодавниот комитет на Рамковната конвенција за националните малцинства за ратификување на Европската повелба за регионални или малцински јазици, потпишана во 1996 година. Органите треба да организираат јавна консултација и навремено да донесат нова стратегија врз основа на концептот „</w:t>
      </w:r>
      <w:r>
        <w:rPr>
          <w:rFonts w:ascii="Times New Roman" w:hAnsi="Times New Roman"/>
          <w:color w:val="000000"/>
          <w:sz w:val="24"/>
          <w:szCs w:val="24"/>
        </w:rPr>
        <w:t>Е</w:t>
      </w:r>
      <w:r w:rsidRPr="005147EE">
        <w:rPr>
          <w:rFonts w:ascii="Times New Roman" w:hAnsi="Times New Roman"/>
          <w:color w:val="000000"/>
          <w:sz w:val="24"/>
          <w:szCs w:val="24"/>
        </w:rPr>
        <w:t>дно општество и интеркултурализам“ за 2023</w:t>
      </w:r>
      <w:r>
        <w:rPr>
          <w:rFonts w:ascii="Times New Roman" w:hAnsi="Times New Roman"/>
          <w:color w:val="000000"/>
          <w:sz w:val="24"/>
          <w:szCs w:val="24"/>
        </w:rPr>
        <w:t xml:space="preserve"> – </w:t>
      </w:r>
      <w:r w:rsidRPr="005147EE">
        <w:rPr>
          <w:rFonts w:ascii="Times New Roman" w:hAnsi="Times New Roman"/>
          <w:color w:val="000000"/>
          <w:sz w:val="24"/>
          <w:szCs w:val="24"/>
        </w:rPr>
        <w:t>2025 година.</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Постигнат е одреден напредок во инклузијата на </w:t>
      </w:r>
      <w:r w:rsidRPr="005147EE">
        <w:rPr>
          <w:rFonts w:ascii="Times New Roman" w:hAnsi="Times New Roman"/>
          <w:b/>
          <w:bCs/>
          <w:color w:val="000000"/>
          <w:sz w:val="24"/>
          <w:szCs w:val="24"/>
        </w:rPr>
        <w:t>Ромите</w:t>
      </w:r>
      <w:r w:rsidRPr="005147EE">
        <w:rPr>
          <w:rFonts w:ascii="Times New Roman" w:hAnsi="Times New Roman"/>
          <w:color w:val="000000"/>
          <w:sz w:val="24"/>
          <w:szCs w:val="24"/>
        </w:rPr>
        <w:t>. Со донесувањето на Стратегијата за инклузија на Ромите за 2022</w:t>
      </w:r>
      <w:r>
        <w:rPr>
          <w:rFonts w:ascii="Times New Roman" w:hAnsi="Times New Roman"/>
          <w:color w:val="000000"/>
          <w:sz w:val="24"/>
          <w:szCs w:val="24"/>
        </w:rPr>
        <w:t xml:space="preserve"> – </w:t>
      </w:r>
      <w:r w:rsidRPr="005147EE">
        <w:rPr>
          <w:rFonts w:ascii="Times New Roman" w:hAnsi="Times New Roman"/>
          <w:color w:val="000000"/>
          <w:sz w:val="24"/>
          <w:szCs w:val="24"/>
        </w:rPr>
        <w:t xml:space="preserve">2030 година, </w:t>
      </w:r>
      <w:r>
        <w:rPr>
          <w:rFonts w:ascii="Times New Roman" w:hAnsi="Times New Roman"/>
          <w:color w:val="000000"/>
          <w:sz w:val="24"/>
          <w:szCs w:val="24"/>
        </w:rPr>
        <w:t>донесените</w:t>
      </w:r>
      <w:r w:rsidRPr="005147EE">
        <w:rPr>
          <w:rFonts w:ascii="Times New Roman" w:hAnsi="Times New Roman"/>
          <w:color w:val="000000"/>
          <w:sz w:val="24"/>
          <w:szCs w:val="24"/>
        </w:rPr>
        <w:t xml:space="preserve"> акциски планови во октомври 2023 година опфаќаат антициганизам, образование, вработување, социјална заштита, здравство, домување, граѓанска регистрација и култура. Советник на премиерот, кој ги надгледува прашањата за инклузија на Ромите, исто така, беше назначен за Национална точка за контакт на Ромите. Запишувањето на деца Роми во градинките е благо зголемено за 1,25</w:t>
      </w:r>
      <w:r>
        <w:rPr>
          <w:rFonts w:ascii="Times New Roman" w:hAnsi="Times New Roman"/>
          <w:color w:val="000000"/>
          <w:sz w:val="24"/>
          <w:szCs w:val="24"/>
        </w:rPr>
        <w:t xml:space="preserve"> </w:t>
      </w:r>
      <w:r w:rsidRPr="005147EE">
        <w:rPr>
          <w:rFonts w:ascii="Times New Roman" w:hAnsi="Times New Roman"/>
          <w:color w:val="000000"/>
          <w:sz w:val="24"/>
          <w:szCs w:val="24"/>
        </w:rPr>
        <w:t>% од 420 лани на 462. Во учебната 2022/23 година, 4</w:t>
      </w:r>
      <w:r>
        <w:rPr>
          <w:rFonts w:ascii="Times New Roman" w:hAnsi="Times New Roman"/>
          <w:color w:val="000000"/>
          <w:sz w:val="24"/>
          <w:szCs w:val="24"/>
        </w:rPr>
        <w:t>.</w:t>
      </w:r>
      <w:r w:rsidRPr="005147EE">
        <w:rPr>
          <w:rFonts w:ascii="Times New Roman" w:hAnsi="Times New Roman"/>
          <w:color w:val="000000"/>
          <w:sz w:val="24"/>
          <w:szCs w:val="24"/>
        </w:rPr>
        <w:t xml:space="preserve">429 деца Роми се запишале во прво одделение од основното образование, </w:t>
      </w:r>
      <w:r>
        <w:rPr>
          <w:rFonts w:ascii="Times New Roman" w:hAnsi="Times New Roman"/>
          <w:color w:val="000000"/>
          <w:sz w:val="24"/>
          <w:szCs w:val="24"/>
        </w:rPr>
        <w:t>а ГО идентификувале</w:t>
      </w:r>
      <w:r w:rsidRPr="005147EE">
        <w:rPr>
          <w:rFonts w:ascii="Times New Roman" w:hAnsi="Times New Roman"/>
          <w:color w:val="000000"/>
          <w:sz w:val="24"/>
          <w:szCs w:val="24"/>
        </w:rPr>
        <w:t xml:space="preserve"> 202 </w:t>
      </w:r>
      <w:r w:rsidR="00050395" w:rsidRPr="005147EE">
        <w:rPr>
          <w:rFonts w:ascii="Times New Roman" w:hAnsi="Times New Roman"/>
          <w:color w:val="000000"/>
          <w:sz w:val="24"/>
          <w:szCs w:val="24"/>
        </w:rPr>
        <w:t>незапишани</w:t>
      </w:r>
      <w:r w:rsidR="00050395">
        <w:rPr>
          <w:rFonts w:ascii="Times New Roman" w:hAnsi="Times New Roman"/>
          <w:color w:val="000000"/>
          <w:sz w:val="24"/>
          <w:szCs w:val="24"/>
          <w:lang w:val="en-US"/>
        </w:rPr>
        <w:t xml:space="preserve"> </w:t>
      </w:r>
      <w:r w:rsidRPr="005147EE">
        <w:rPr>
          <w:rFonts w:ascii="Times New Roman" w:hAnsi="Times New Roman"/>
          <w:color w:val="000000"/>
          <w:sz w:val="24"/>
          <w:szCs w:val="24"/>
        </w:rPr>
        <w:t xml:space="preserve">деца. </w:t>
      </w:r>
      <w:r>
        <w:rPr>
          <w:rFonts w:ascii="Times New Roman" w:hAnsi="Times New Roman"/>
          <w:color w:val="000000"/>
          <w:sz w:val="24"/>
          <w:szCs w:val="24"/>
        </w:rPr>
        <w:t>С</w:t>
      </w:r>
      <w:r w:rsidRPr="009768C4">
        <w:rPr>
          <w:rFonts w:ascii="Times New Roman" w:hAnsi="Times New Roman"/>
          <w:color w:val="000000"/>
          <w:sz w:val="24"/>
          <w:szCs w:val="24"/>
          <w:lang w:val="ru-RU"/>
        </w:rPr>
        <w:t>è</w:t>
      </w:r>
      <w:r w:rsidRPr="005147EE">
        <w:rPr>
          <w:rFonts w:ascii="Times New Roman" w:hAnsi="Times New Roman"/>
          <w:color w:val="000000"/>
          <w:sz w:val="24"/>
          <w:szCs w:val="24"/>
        </w:rPr>
        <w:t xml:space="preserve"> уште е релативно висока </w:t>
      </w:r>
      <w:r>
        <w:rPr>
          <w:rFonts w:ascii="Times New Roman" w:hAnsi="Times New Roman"/>
          <w:color w:val="000000"/>
          <w:sz w:val="24"/>
          <w:szCs w:val="24"/>
        </w:rPr>
        <w:t>г</w:t>
      </w:r>
      <w:r w:rsidRPr="005147EE">
        <w:rPr>
          <w:rFonts w:ascii="Times New Roman" w:hAnsi="Times New Roman"/>
          <w:color w:val="000000"/>
          <w:sz w:val="24"/>
          <w:szCs w:val="24"/>
        </w:rPr>
        <w:t xml:space="preserve">одишната стапка на децата Роми </w:t>
      </w:r>
      <w:r>
        <w:rPr>
          <w:rFonts w:ascii="Times New Roman" w:hAnsi="Times New Roman"/>
          <w:color w:val="000000"/>
          <w:sz w:val="24"/>
          <w:szCs w:val="24"/>
        </w:rPr>
        <w:t>што</w:t>
      </w:r>
      <w:r w:rsidRPr="005147EE">
        <w:rPr>
          <w:rFonts w:ascii="Times New Roman" w:hAnsi="Times New Roman"/>
          <w:color w:val="000000"/>
          <w:sz w:val="24"/>
          <w:szCs w:val="24"/>
        </w:rPr>
        <w:t xml:space="preserve"> предвреме ги напуштаат основните училишта. Според Министерството за образование и наука, 93,17</w:t>
      </w:r>
      <w:r>
        <w:rPr>
          <w:rFonts w:ascii="Times New Roman" w:hAnsi="Times New Roman"/>
          <w:color w:val="000000"/>
          <w:sz w:val="24"/>
          <w:szCs w:val="24"/>
        </w:rPr>
        <w:t xml:space="preserve"> </w:t>
      </w:r>
      <w:r w:rsidRPr="005147EE">
        <w:rPr>
          <w:rFonts w:ascii="Times New Roman" w:hAnsi="Times New Roman"/>
          <w:color w:val="000000"/>
          <w:sz w:val="24"/>
          <w:szCs w:val="24"/>
        </w:rPr>
        <w:t>% од учениците Роми останале на училиште и по учебната 2021/22 година, а 6,83</w:t>
      </w:r>
      <w:r>
        <w:rPr>
          <w:rFonts w:ascii="Times New Roman" w:hAnsi="Times New Roman"/>
          <w:color w:val="000000"/>
          <w:sz w:val="24"/>
          <w:szCs w:val="24"/>
        </w:rPr>
        <w:t xml:space="preserve"> </w:t>
      </w:r>
      <w:r w:rsidRPr="005147EE">
        <w:rPr>
          <w:rFonts w:ascii="Times New Roman" w:hAnsi="Times New Roman"/>
          <w:color w:val="000000"/>
          <w:sz w:val="24"/>
          <w:szCs w:val="24"/>
        </w:rPr>
        <w:t>% заминале. 89,08% од децата Роми на возраст за завршување на училиштето</w:t>
      </w:r>
      <w:r>
        <w:rPr>
          <w:rFonts w:ascii="Times New Roman" w:hAnsi="Times New Roman"/>
          <w:color w:val="000000"/>
          <w:sz w:val="24"/>
          <w:szCs w:val="24"/>
        </w:rPr>
        <w:t>,</w:t>
      </w:r>
      <w:r w:rsidRPr="005147EE">
        <w:rPr>
          <w:rFonts w:ascii="Times New Roman" w:hAnsi="Times New Roman"/>
          <w:color w:val="000000"/>
          <w:sz w:val="24"/>
          <w:szCs w:val="24"/>
        </w:rPr>
        <w:t xml:space="preserve"> успешно го завршиле средното образование. Вработувањето на 35 ромски образовни медијатори е позитивен чекор, додека сегрегацијата во училиштата останува значителен проблем. Не постојат систематски мерки за спречување нередовно посетување или за реинтеграција на децата </w:t>
      </w:r>
      <w:r>
        <w:rPr>
          <w:rFonts w:ascii="Times New Roman" w:hAnsi="Times New Roman"/>
          <w:color w:val="000000"/>
          <w:sz w:val="24"/>
          <w:szCs w:val="24"/>
        </w:rPr>
        <w:t>што</w:t>
      </w:r>
      <w:r w:rsidRPr="005147EE">
        <w:rPr>
          <w:rFonts w:ascii="Times New Roman" w:hAnsi="Times New Roman"/>
          <w:color w:val="000000"/>
          <w:sz w:val="24"/>
          <w:szCs w:val="24"/>
        </w:rPr>
        <w:t xml:space="preserve"> го напуштиле образованието, или систематско спроведување на задолжителното основно и средно образование како што </w:t>
      </w:r>
      <w:r>
        <w:rPr>
          <w:rFonts w:ascii="Times New Roman" w:hAnsi="Times New Roman"/>
          <w:color w:val="000000"/>
          <w:sz w:val="24"/>
          <w:szCs w:val="24"/>
        </w:rPr>
        <w:t>наложува</w:t>
      </w:r>
      <w:r w:rsidRPr="005147EE">
        <w:rPr>
          <w:rFonts w:ascii="Times New Roman" w:hAnsi="Times New Roman"/>
          <w:color w:val="000000"/>
          <w:sz w:val="24"/>
          <w:szCs w:val="24"/>
        </w:rPr>
        <w:t xml:space="preserve"> законот.</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К</w:t>
      </w:r>
      <w:r w:rsidRPr="005147EE">
        <w:rPr>
          <w:rFonts w:ascii="Times New Roman" w:hAnsi="Times New Roman"/>
          <w:color w:val="000000"/>
          <w:sz w:val="24"/>
          <w:szCs w:val="24"/>
        </w:rPr>
        <w:t>лучни предизвици во областа на здравствената заштита на Ромите</w:t>
      </w:r>
      <w:r>
        <w:rPr>
          <w:rFonts w:ascii="Times New Roman" w:hAnsi="Times New Roman"/>
          <w:color w:val="000000"/>
          <w:sz w:val="24"/>
          <w:szCs w:val="24"/>
        </w:rPr>
        <w:t xml:space="preserve"> остануваат п</w:t>
      </w:r>
      <w:r w:rsidRPr="005147EE">
        <w:rPr>
          <w:rFonts w:ascii="Times New Roman" w:hAnsi="Times New Roman"/>
          <w:color w:val="000000"/>
          <w:sz w:val="24"/>
          <w:szCs w:val="24"/>
        </w:rPr>
        <w:t xml:space="preserve">ристапот до превентивните и куративните здравствени услуги, намалувањето на смртноста, справувањето со дискриминацијата и нееднаквиот третман од здравствените работници и здравјето на жените. Има мало намалување на бројот на невработени Роми. </w:t>
      </w:r>
      <w:r w:rsidRPr="005147EE">
        <w:rPr>
          <w:rFonts w:ascii="Times New Roman" w:hAnsi="Times New Roman"/>
          <w:sz w:val="24"/>
          <w:szCs w:val="24"/>
        </w:rPr>
        <w:t>Беа воведени мерки насочени кон ромските поединци со ниско ниво на образование и за унапредување на нивното вклучување на пазарот на трудот.</w:t>
      </w:r>
      <w:r w:rsidRPr="005147EE">
        <w:rPr>
          <w:rFonts w:ascii="Times New Roman" w:hAnsi="Times New Roman"/>
          <w:color w:val="000000"/>
          <w:sz w:val="24"/>
          <w:szCs w:val="24"/>
        </w:rPr>
        <w:t xml:space="preserve"> </w:t>
      </w:r>
      <w:r>
        <w:rPr>
          <w:rFonts w:ascii="Times New Roman" w:hAnsi="Times New Roman"/>
          <w:color w:val="000000"/>
          <w:sz w:val="24"/>
          <w:szCs w:val="24"/>
        </w:rPr>
        <w:t>Во</w:t>
      </w:r>
      <w:r w:rsidRPr="005147EE">
        <w:rPr>
          <w:rFonts w:ascii="Times New Roman" w:hAnsi="Times New Roman"/>
          <w:color w:val="000000"/>
          <w:sz w:val="24"/>
          <w:szCs w:val="24"/>
        </w:rPr>
        <w:t xml:space="preserve"> </w:t>
      </w:r>
      <w:r>
        <w:rPr>
          <w:rFonts w:ascii="Times New Roman" w:hAnsi="Times New Roman"/>
          <w:color w:val="000000"/>
          <w:sz w:val="24"/>
          <w:szCs w:val="24"/>
        </w:rPr>
        <w:t>ш</w:t>
      </w:r>
      <w:r w:rsidRPr="005147EE">
        <w:rPr>
          <w:rFonts w:ascii="Times New Roman" w:hAnsi="Times New Roman"/>
          <w:color w:val="000000"/>
          <w:sz w:val="24"/>
          <w:szCs w:val="24"/>
        </w:rPr>
        <w:t>емата за младинска гаранција</w:t>
      </w:r>
      <w:r>
        <w:rPr>
          <w:rFonts w:ascii="Times New Roman" w:hAnsi="Times New Roman"/>
          <w:color w:val="000000"/>
          <w:sz w:val="24"/>
          <w:szCs w:val="24"/>
        </w:rPr>
        <w:t xml:space="preserve"> беа</w:t>
      </w:r>
      <w:r w:rsidRPr="005147EE">
        <w:rPr>
          <w:rFonts w:ascii="Times New Roman" w:hAnsi="Times New Roman"/>
          <w:color w:val="000000"/>
          <w:sz w:val="24"/>
          <w:szCs w:val="24"/>
        </w:rPr>
        <w:t xml:space="preserve"> вклучени</w:t>
      </w:r>
      <w:r>
        <w:rPr>
          <w:rFonts w:ascii="Times New Roman" w:hAnsi="Times New Roman"/>
          <w:color w:val="000000"/>
          <w:sz w:val="24"/>
          <w:szCs w:val="24"/>
        </w:rPr>
        <w:t xml:space="preserve"> </w:t>
      </w:r>
      <w:r w:rsidRPr="005147EE">
        <w:rPr>
          <w:rFonts w:ascii="Times New Roman" w:hAnsi="Times New Roman"/>
          <w:color w:val="000000"/>
          <w:sz w:val="24"/>
          <w:szCs w:val="24"/>
        </w:rPr>
        <w:t xml:space="preserve">969 Роми. Географското мапирање на ромските населби во пет општини ги идентификуваше областите каде што се потребни интервенции за домување. Најголемиот дел од ромските населби и понатаму не се опфатени со урбанистички планови. Донесените измени на Законот за матична евиденција, </w:t>
      </w:r>
      <w:r>
        <w:rPr>
          <w:rFonts w:ascii="Times New Roman" w:hAnsi="Times New Roman"/>
          <w:color w:val="000000"/>
          <w:sz w:val="24"/>
          <w:szCs w:val="24"/>
        </w:rPr>
        <w:t xml:space="preserve">на </w:t>
      </w:r>
      <w:r w:rsidRPr="005147EE">
        <w:rPr>
          <w:rFonts w:ascii="Times New Roman" w:hAnsi="Times New Roman"/>
          <w:color w:val="000000"/>
          <w:sz w:val="24"/>
          <w:szCs w:val="24"/>
        </w:rPr>
        <w:t xml:space="preserve">Законот за пријавување на живеалиштето и </w:t>
      </w:r>
      <w:r>
        <w:rPr>
          <w:rFonts w:ascii="Times New Roman" w:hAnsi="Times New Roman"/>
          <w:color w:val="000000"/>
          <w:sz w:val="24"/>
          <w:szCs w:val="24"/>
        </w:rPr>
        <w:t xml:space="preserve">на </w:t>
      </w:r>
      <w:r w:rsidRPr="005147EE">
        <w:rPr>
          <w:rFonts w:ascii="Times New Roman" w:hAnsi="Times New Roman"/>
          <w:color w:val="000000"/>
          <w:sz w:val="24"/>
          <w:szCs w:val="24"/>
        </w:rPr>
        <w:t>Законот за лична карта</w:t>
      </w:r>
      <w:r>
        <w:rPr>
          <w:rFonts w:ascii="Times New Roman" w:hAnsi="Times New Roman"/>
          <w:color w:val="000000"/>
          <w:sz w:val="24"/>
          <w:szCs w:val="24"/>
        </w:rPr>
        <w:t>,</w:t>
      </w:r>
      <w:r w:rsidRPr="005147EE">
        <w:rPr>
          <w:rFonts w:ascii="Times New Roman" w:hAnsi="Times New Roman"/>
          <w:color w:val="000000"/>
          <w:sz w:val="24"/>
          <w:szCs w:val="24"/>
        </w:rPr>
        <w:t xml:space="preserve"> го отвораат патот кон решавање на сите познати случаи на бездржавјанство и исполнување на меѓународните обврски на државата. Тие го гарантираат правото на запишување на децата родени на територијата на Северна Македонија во рок од 45 дена од раѓањето, без оглед на статусот на нивните родители. Ставањето крај на бездржавјанството може да има значително позитивно влијание врз засегнатите Роми и </w:t>
      </w:r>
      <w:r>
        <w:rPr>
          <w:rFonts w:ascii="Times New Roman" w:hAnsi="Times New Roman"/>
          <w:color w:val="000000"/>
          <w:sz w:val="24"/>
          <w:szCs w:val="24"/>
        </w:rPr>
        <w:t xml:space="preserve">врз </w:t>
      </w:r>
      <w:r w:rsidRPr="005147EE">
        <w:rPr>
          <w:rFonts w:ascii="Times New Roman" w:hAnsi="Times New Roman"/>
          <w:color w:val="000000"/>
          <w:sz w:val="24"/>
          <w:szCs w:val="24"/>
        </w:rPr>
        <w:t>општеството како целина.</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color w:val="000000"/>
          <w:sz w:val="24"/>
          <w:szCs w:val="24"/>
        </w:rPr>
        <w:t xml:space="preserve">Евидентирани се случаи на дискриминација и </w:t>
      </w:r>
      <w:r>
        <w:rPr>
          <w:rFonts w:ascii="Times New Roman" w:hAnsi="Times New Roman"/>
          <w:color w:val="000000"/>
          <w:sz w:val="24"/>
          <w:szCs w:val="24"/>
        </w:rPr>
        <w:t xml:space="preserve">на </w:t>
      </w:r>
      <w:r w:rsidRPr="005147EE">
        <w:rPr>
          <w:rFonts w:ascii="Times New Roman" w:hAnsi="Times New Roman"/>
          <w:color w:val="000000"/>
          <w:sz w:val="24"/>
          <w:szCs w:val="24"/>
        </w:rPr>
        <w:t xml:space="preserve">полициска бруталност врз основа на ромска етничка припадност, особено врз млади Роми, девојчиња и Роми во притвор. Други </w:t>
      </w:r>
      <w:r>
        <w:rPr>
          <w:rFonts w:ascii="Times New Roman" w:hAnsi="Times New Roman"/>
          <w:color w:val="000000"/>
          <w:sz w:val="24"/>
          <w:szCs w:val="24"/>
        </w:rPr>
        <w:t>пречки</w:t>
      </w:r>
      <w:r w:rsidRPr="005147EE">
        <w:rPr>
          <w:rFonts w:ascii="Times New Roman" w:hAnsi="Times New Roman"/>
          <w:color w:val="000000"/>
          <w:sz w:val="24"/>
          <w:szCs w:val="24"/>
        </w:rPr>
        <w:t xml:space="preserve">, </w:t>
      </w:r>
      <w:r>
        <w:rPr>
          <w:rFonts w:ascii="Times New Roman" w:hAnsi="Times New Roman"/>
          <w:color w:val="000000"/>
          <w:sz w:val="24"/>
          <w:szCs w:val="24"/>
        </w:rPr>
        <w:t>какви</w:t>
      </w:r>
      <w:r w:rsidRPr="005147EE">
        <w:rPr>
          <w:rFonts w:ascii="Times New Roman" w:hAnsi="Times New Roman"/>
          <w:color w:val="000000"/>
          <w:sz w:val="24"/>
          <w:szCs w:val="24"/>
        </w:rPr>
        <w:t xml:space="preserve"> што се недостатокот на дигитални вештини и пристап до технологија, продолжуваат да ги спречуваат Ромите целосно да ги уживаат своите права и да пристапат до повеќето услуги, од кои повеќето се сега дигитални (здравство, образование, вработување, социјална заштита итн.). Потребни се дополнителни напори и ресурси за да се забрза инклузијата на Ромите, да се реши антициганизмот, дискриминацијата и образовната и просторната сегрегација и да се намалат нееднаквостите во однос на остатокот од населението. Владата работи на спроведување на приоритетите идентификувани во Познањската декларација и на приоритетните мерки идентификувани на билатералните семинари на ЕУ за Ромите. Севкупно, иако е постигнат напредок, потребни се понатамошни напори за целосно унапредување на инклузијата и </w:t>
      </w:r>
      <w:r>
        <w:rPr>
          <w:rFonts w:ascii="Times New Roman" w:hAnsi="Times New Roman"/>
          <w:color w:val="000000"/>
          <w:sz w:val="24"/>
          <w:szCs w:val="24"/>
        </w:rPr>
        <w:t xml:space="preserve">на </w:t>
      </w:r>
      <w:r w:rsidRPr="005147EE">
        <w:rPr>
          <w:rFonts w:ascii="Times New Roman" w:hAnsi="Times New Roman"/>
          <w:color w:val="000000"/>
          <w:sz w:val="24"/>
          <w:szCs w:val="24"/>
        </w:rPr>
        <w:t xml:space="preserve">заштитата на Ромите и решавање на антициганизмот и </w:t>
      </w:r>
      <w:r>
        <w:rPr>
          <w:rFonts w:ascii="Times New Roman" w:hAnsi="Times New Roman"/>
          <w:color w:val="000000"/>
          <w:sz w:val="24"/>
          <w:szCs w:val="24"/>
        </w:rPr>
        <w:t xml:space="preserve">на </w:t>
      </w:r>
      <w:r w:rsidRPr="005147EE">
        <w:rPr>
          <w:rFonts w:ascii="Times New Roman" w:hAnsi="Times New Roman"/>
          <w:color w:val="000000"/>
          <w:sz w:val="24"/>
          <w:szCs w:val="24"/>
        </w:rPr>
        <w:t>дискриминацијата, вклучително и повеќекратната и структурната дискриминација на Ромите. Потребно е систематско учество, зајакнување и градење капацитети.</w:t>
      </w:r>
    </w:p>
    <w:p w:rsidR="009768C4" w:rsidRPr="005147EE" w:rsidRDefault="009768C4" w:rsidP="00A661C4">
      <w:pPr>
        <w:shd w:val="clear" w:color="auto" w:fill="FFFFFF"/>
        <w:spacing w:before="120" w:after="120" w:line="240" w:lineRule="auto"/>
        <w:jc w:val="both"/>
        <w:rPr>
          <w:rFonts w:ascii="Times New Roman" w:hAnsi="Times New Roman"/>
          <w:sz w:val="24"/>
          <w:szCs w:val="24"/>
        </w:rPr>
      </w:pPr>
      <w:r w:rsidRPr="005147EE">
        <w:rPr>
          <w:rFonts w:ascii="Times New Roman" w:hAnsi="Times New Roman"/>
          <w:b/>
          <w:bCs/>
          <w:color w:val="000000"/>
          <w:sz w:val="24"/>
          <w:szCs w:val="24"/>
        </w:rPr>
        <w:t>Правата на граѓаните на ЕУ</w:t>
      </w:r>
    </w:p>
    <w:p w:rsidR="009768C4" w:rsidRPr="005147EE" w:rsidRDefault="009768C4" w:rsidP="00AF7F57">
      <w:pPr>
        <w:spacing w:line="240" w:lineRule="auto"/>
        <w:jc w:val="both"/>
      </w:pPr>
      <w:r w:rsidRPr="005147EE">
        <w:rPr>
          <w:rFonts w:ascii="Times New Roman" w:hAnsi="Times New Roman"/>
          <w:color w:val="000000"/>
          <w:sz w:val="24"/>
          <w:szCs w:val="24"/>
        </w:rPr>
        <w:t xml:space="preserve">Во декември 2012 година Северна Македонија го измени законот со што се овозможува </w:t>
      </w:r>
      <w:r w:rsidRPr="005147EE">
        <w:rPr>
          <w:rFonts w:ascii="Times New Roman" w:hAnsi="Times New Roman"/>
          <w:b/>
          <w:bCs/>
          <w:color w:val="000000"/>
          <w:sz w:val="24"/>
          <w:szCs w:val="24"/>
        </w:rPr>
        <w:t>стекнување државјанство за посебни економски интереси.</w:t>
      </w:r>
      <w:r w:rsidRPr="005147EE">
        <w:rPr>
          <w:rFonts w:ascii="Times New Roman" w:hAnsi="Times New Roman"/>
          <w:color w:val="000000"/>
          <w:sz w:val="24"/>
          <w:szCs w:val="24"/>
        </w:rPr>
        <w:t xml:space="preserve"> Програмата може да предизвика миграциски и безбедносни ризици, особено со оглед на различните критериуми за доделување државјанство. Во согласност со препораката на Комисијата за ова прашање во нејзиниот шести извештај, </w:t>
      </w:r>
      <w:r>
        <w:rPr>
          <w:rFonts w:ascii="Times New Roman" w:hAnsi="Times New Roman"/>
          <w:color w:val="000000"/>
          <w:sz w:val="24"/>
          <w:szCs w:val="24"/>
        </w:rPr>
        <w:t>според</w:t>
      </w:r>
      <w:r w:rsidRPr="005147EE">
        <w:rPr>
          <w:rFonts w:ascii="Times New Roman" w:hAnsi="Times New Roman"/>
          <w:color w:val="000000"/>
          <w:sz w:val="24"/>
          <w:szCs w:val="24"/>
        </w:rPr>
        <w:t xml:space="preserve"> механизмот за суспензија на визниот режим, Северна Македонија треба да се воздржи од систематско доделување државјанство врз основа на посебен економски интерес (програми за државјанство на инвеститори), бидејќи таквите програми предизвикуваат ризици во однос на безбедноста, перењето пари, даночното затајување, финансирањето тероризам, корупцијата и инфилтрацијата на организиран криминал, и се некомпатибилни со правото на ЕУ.</w:t>
      </w:r>
    </w:p>
    <w:p w:rsidR="009768C4" w:rsidRPr="0031470B" w:rsidRDefault="009768C4" w:rsidP="00A661C4">
      <w:pPr>
        <w:pStyle w:val="Heading2"/>
      </w:pPr>
      <w:bookmarkStart w:id="24" w:name="bookmark15"/>
      <w:bookmarkStart w:id="25" w:name="_Toc150864250"/>
      <w:r>
        <w:t>2</w:t>
      </w:r>
      <w:bookmarkEnd w:id="24"/>
      <w:r>
        <w:t>.2.2.</w:t>
      </w:r>
      <w:r>
        <w:tab/>
        <w:t>Поглавје 24: Правда, слобода и безбедност</w:t>
      </w:r>
      <w:bookmarkEnd w:id="25"/>
    </w:p>
    <w:p w:rsidR="009768C4" w:rsidRPr="0031470B"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Pr>
          <w:rFonts w:ascii="Times New Roman" w:hAnsi="Times New Roman"/>
          <w:i/>
          <w:iCs/>
          <w:color w:val="000000"/>
          <w:sz w:val="24"/>
          <w:szCs w:val="24"/>
        </w:rPr>
        <w:t>ЕУ има заеднички правила за гранична контрола, визи, дозволи за престој и работа, надворешна миграција и азил. Шенгенската соработка опфаќа укинување на граничните контроли во рамките на ЕУ. Земјите членки, исто така, соработуваат со Северна Македонија во борбата против организираниот криминал и тероризмот и за судски, полициски и царински прашања, сите со поддршка од агенциите на ЕУ за правда и внатрешни работи.</w:t>
      </w:r>
    </w:p>
    <w:p w:rsidR="009768C4" w:rsidRPr="0031470B"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Северна Македонија е </w:t>
      </w:r>
      <w:r>
        <w:rPr>
          <w:rFonts w:ascii="Times New Roman" w:hAnsi="Times New Roman"/>
          <w:b/>
          <w:bCs/>
          <w:color w:val="000000"/>
          <w:sz w:val="24"/>
          <w:szCs w:val="24"/>
        </w:rPr>
        <w:t>умерено подготвена</w:t>
      </w:r>
      <w:r>
        <w:rPr>
          <w:rFonts w:ascii="Times New Roman" w:hAnsi="Times New Roman"/>
          <w:color w:val="000000"/>
          <w:sz w:val="24"/>
          <w:szCs w:val="24"/>
        </w:rPr>
        <w:t xml:space="preserve"> за спроведување на правото на ЕУ. Постигнат е </w:t>
      </w:r>
      <w:r>
        <w:rPr>
          <w:rFonts w:ascii="Times New Roman" w:hAnsi="Times New Roman"/>
          <w:b/>
          <w:bCs/>
          <w:color w:val="000000"/>
          <w:sz w:val="24"/>
          <w:szCs w:val="24"/>
        </w:rPr>
        <w:t>одреден напредок</w:t>
      </w:r>
      <w:r w:rsidRPr="00AF7F57">
        <w:rPr>
          <w:rFonts w:ascii="Times New Roman" w:hAnsi="Times New Roman"/>
          <w:color w:val="000000"/>
          <w:sz w:val="24"/>
          <w:szCs w:val="24"/>
        </w:rPr>
        <w:t>.</w:t>
      </w:r>
      <w:r>
        <w:rPr>
          <w:rFonts w:ascii="Times New Roman" w:hAnsi="Times New Roman"/>
          <w:color w:val="000000"/>
          <w:sz w:val="24"/>
          <w:szCs w:val="24"/>
        </w:rPr>
        <w:t xml:space="preserve"> Соработката во полето на борбата против тероризмот и спречувањето и борбата против насилниот екстремизам дополнително е надградена со новиот договор за спроведување заеднички акциски план за борба против тероризмот. Националните стратегии за борба против тероризмот (2023 - 2027) и спречување на насилниот екстремизам (2023 - 2027), со поврзаните акциски планови, беа донесени во мај 2023 година. Евидентирањето на мигрантите треба да се врши систематски и треба да се подобри профилирањето чувствително на заштита. Земјата треба да воспостави соодветен систем за контрола на нерегуларното движење на луѓе и да ја прекине практиката на враќање на мигрантите спротивно на правната рамка. Треба да се финализира и да се донесе план за вонредни ситуации за управување со големи миграциски текови. Статусниот договор со Фронтекс за оперативна соработка во управувањето со границите стапи на сила на 1 април 2023 година. </w:t>
      </w:r>
      <w:r>
        <w:rPr>
          <w:rFonts w:ascii="Times New Roman" w:hAnsi="Times New Roman"/>
          <w:sz w:val="24"/>
          <w:szCs w:val="24"/>
        </w:rPr>
        <w:t>Ова го овозможи започнувањето заедничка операција со испраќање офицери од земјите членки на ЕУ за да се обезбеди поддршка при граничната контрола и управувањето со нелегалната миграција и прекуграничниот криминал.</w:t>
      </w:r>
      <w:r>
        <w:rPr>
          <w:rFonts w:ascii="Times New Roman" w:hAnsi="Times New Roman"/>
          <w:color w:val="000000"/>
          <w:sz w:val="24"/>
          <w:szCs w:val="24"/>
        </w:rPr>
        <w:t xml:space="preserve"> Минатогодишните препораки беа само делумно спроведени и остануваат валидни и понатаму. Во текот на наредната година земјата особено треба:</w:t>
      </w:r>
    </w:p>
    <w:p w:rsidR="009768C4" w:rsidRPr="0031470B"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Pr>
          <w:rFonts w:ascii="Times New Roman" w:hAnsi="Times New Roman"/>
          <w:color w:val="000000"/>
          <w:sz w:val="24"/>
          <w:szCs w:val="24"/>
        </w:rPr>
        <w:t>→ да продолжи со проактивна реформа на структурите што се одговорни за борба против организираниот криминал со фокус на зголемувањето на оперативниот капацитет и соработката;</w:t>
      </w:r>
    </w:p>
    <w:p w:rsidR="009768C4" w:rsidRPr="0031470B"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Pr>
          <w:rFonts w:ascii="Times New Roman" w:hAnsi="Times New Roman"/>
          <w:color w:val="000000"/>
          <w:sz w:val="24"/>
          <w:szCs w:val="24"/>
        </w:rPr>
        <w:t>→ да осигури ефективно спроведување и следење на националните стратегии за борба против тероризмот (2023 - 2027), борба против насилниот екстремизам (2023 - 2027) и за заедничкиот акциски план за борба против тероризмот;</w:t>
      </w:r>
    </w:p>
    <w:p w:rsidR="009768C4" w:rsidRPr="0031470B"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Pr>
          <w:rFonts w:ascii="Times New Roman" w:hAnsi="Times New Roman"/>
          <w:color w:val="000000"/>
          <w:sz w:val="24"/>
          <w:szCs w:val="24"/>
        </w:rPr>
        <w:t>→ систематски да ги евидентира мигрантите и да го подобри профилирањето чувствително на заштита, да усвои посистематски пристап во борбата против криумчарењето мигранти и да го усогласи националното законодавство со списокот на ЕУ за трети земји за кои е потребна виза.</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b/>
          <w:bCs/>
          <w:color w:val="000000"/>
          <w:sz w:val="24"/>
          <w:szCs w:val="24"/>
        </w:rPr>
        <w:t>Борба против организираниот криминал</w:t>
      </w:r>
    </w:p>
    <w:p w:rsidR="009768C4" w:rsidRPr="0031470B"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Северна Македонија има </w:t>
      </w:r>
      <w:r>
        <w:rPr>
          <w:rFonts w:ascii="Times New Roman" w:hAnsi="Times New Roman"/>
          <w:b/>
          <w:bCs/>
          <w:color w:val="000000"/>
          <w:sz w:val="24"/>
          <w:szCs w:val="24"/>
        </w:rPr>
        <w:t>одредено ниво на подготвеност</w:t>
      </w:r>
      <w:r>
        <w:rPr>
          <w:rFonts w:ascii="Times New Roman" w:hAnsi="Times New Roman"/>
          <w:color w:val="000000"/>
          <w:sz w:val="24"/>
          <w:szCs w:val="24"/>
        </w:rPr>
        <w:t xml:space="preserve"> во борбата против организираниот криминал. Постигнат е </w:t>
      </w:r>
      <w:r w:rsidRPr="00AF7F57">
        <w:rPr>
          <w:rFonts w:ascii="Times New Roman" w:hAnsi="Times New Roman"/>
          <w:b/>
          <w:bCs/>
          <w:color w:val="000000"/>
          <w:sz w:val="24"/>
          <w:szCs w:val="24"/>
        </w:rPr>
        <w:t>одреден напредок</w:t>
      </w:r>
      <w:r>
        <w:rPr>
          <w:rFonts w:ascii="Times New Roman" w:hAnsi="Times New Roman"/>
          <w:color w:val="000000"/>
          <w:sz w:val="24"/>
          <w:szCs w:val="24"/>
        </w:rPr>
        <w:t xml:space="preserve"> во областа на борба против тероризмот и насилниот екстремизам. Земјата продолжува да има добро ниво на оперативна соработка со земјите членки на ЕУ, соседните земји што не се членки на ЕУ, Европол и Европравда. Новиот Закон за спречување перење пари и финансирање на тероризам стапи на сила во јули 2022 година. Сè уште е потребно поефективно соочување со одредени форми на криминал, како што се перењето пари и финансискиот криминал.</w:t>
      </w:r>
    </w:p>
    <w:p w:rsidR="009768C4" w:rsidRPr="0031470B"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Pr>
          <w:rFonts w:ascii="Times New Roman" w:hAnsi="Times New Roman"/>
          <w:color w:val="000000"/>
          <w:sz w:val="24"/>
          <w:szCs w:val="24"/>
        </w:rPr>
        <w:t>Треба да се зајакне капацитетот на Националниот координативен центар за сузбивање на организиран и сериозен криминал. Координацијата останува клучна за сите засегнати страни вклучени во борбата против организираниот криминал, вклучително и меѓу обвинителите и полицијата.</w:t>
      </w:r>
    </w:p>
    <w:p w:rsidR="009768C4" w:rsidRPr="0031470B"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Pr>
          <w:rFonts w:ascii="Times New Roman" w:hAnsi="Times New Roman"/>
          <w:color w:val="000000"/>
          <w:sz w:val="24"/>
          <w:szCs w:val="24"/>
        </w:rPr>
        <w:t>Сè уште важат најголем дел од препораките од минатогодишниот извештај. Во наредната година Северна Македонија особено</w:t>
      </w:r>
      <w:r w:rsidRPr="00123C25">
        <w:rPr>
          <w:rFonts w:ascii="Times New Roman" w:hAnsi="Times New Roman"/>
          <w:color w:val="000000"/>
          <w:sz w:val="24"/>
          <w:szCs w:val="24"/>
        </w:rPr>
        <w:t xml:space="preserve"> </w:t>
      </w:r>
      <w:r>
        <w:rPr>
          <w:rFonts w:ascii="Times New Roman" w:hAnsi="Times New Roman"/>
          <w:color w:val="000000"/>
          <w:sz w:val="24"/>
          <w:szCs w:val="24"/>
        </w:rPr>
        <w:t>треба:</w:t>
      </w:r>
    </w:p>
    <w:p w:rsidR="009768C4" w:rsidRPr="0031470B"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Pr>
          <w:rFonts w:ascii="Times New Roman" w:hAnsi="Times New Roman"/>
          <w:color w:val="000000"/>
          <w:sz w:val="24"/>
          <w:szCs w:val="24"/>
        </w:rPr>
        <w:t>→ да ја подобри својата евиденција на истраги, кривично гонење и изрекување пресуди во случаите на организиран криминал и случаите на перење пари со фокус на конфискација на приносите од криминал;</w:t>
      </w:r>
    </w:p>
    <w:p w:rsidR="009768C4" w:rsidRPr="0031470B"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Pr>
          <w:rFonts w:ascii="Times New Roman" w:hAnsi="Times New Roman"/>
          <w:color w:val="000000"/>
          <w:sz w:val="24"/>
          <w:szCs w:val="24"/>
        </w:rPr>
        <w:t>→ да го донесе и да го спроведе неопходното законодавство за Служба за одземање имот;</w:t>
      </w:r>
    </w:p>
    <w:p w:rsidR="009768C4" w:rsidRPr="0031470B"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Pr>
          <w:rFonts w:ascii="Times New Roman" w:hAnsi="Times New Roman"/>
          <w:color w:val="000000"/>
          <w:sz w:val="24"/>
          <w:szCs w:val="24"/>
        </w:rPr>
        <w:t>→ да ги зајакне човечките и финансиските капацитети на агенциите за спроведување на законот што ги истражуваат организираниот и сериозниот криминал, финансискиот криминал и перењето пари.</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u w:val="single"/>
        </w:rPr>
        <w:t>Институционална поставеност и правно усогласување</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Бројот на полициски службеници се зголеми во 2022 година и достигна 347,6 на 100.000 жители (330 во 2021 година), што е повисоко од просекот на ЕУ, кој изнесува 335,3/100.000 (Евростат, 2019 - 2021).</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Клучни </w:t>
      </w:r>
      <w:r>
        <w:rPr>
          <w:rFonts w:ascii="Times New Roman" w:hAnsi="Times New Roman"/>
          <w:b/>
          <w:bCs/>
          <w:color w:val="000000"/>
          <w:sz w:val="24"/>
          <w:szCs w:val="24"/>
        </w:rPr>
        <w:t>институции</w:t>
      </w:r>
      <w:r>
        <w:rPr>
          <w:rFonts w:ascii="Times New Roman" w:hAnsi="Times New Roman"/>
          <w:color w:val="000000"/>
          <w:sz w:val="24"/>
          <w:szCs w:val="24"/>
        </w:rPr>
        <w:t xml:space="preserve"> за борба против организираниот криминал се специјализираните полициски единици во рамките на Министерството за внатрешни работи, што се надлежни за различни видови организиран криминал и финансиски истраги. Среднорочните приоритети и цели за развојот на полициските сили се утврдени во </w:t>
      </w:r>
      <w:r w:rsidRPr="00260054">
        <w:rPr>
          <w:rFonts w:ascii="Times New Roman" w:hAnsi="Times New Roman"/>
          <w:color w:val="000000"/>
          <w:sz w:val="24"/>
          <w:szCs w:val="24"/>
        </w:rPr>
        <w:t>Стратешкиот план</w:t>
      </w:r>
      <w:r>
        <w:rPr>
          <w:rFonts w:ascii="Times New Roman" w:hAnsi="Times New Roman"/>
          <w:color w:val="000000"/>
          <w:sz w:val="24"/>
          <w:szCs w:val="24"/>
        </w:rPr>
        <w:t xml:space="preserve"> за 2022 - 2024 година на Министерството за внатрешни работи. Во 2022 година беа спроведени 47 % од планираните активности.</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2018 и 2019 година Северна Македонија направила сеопфатна реформа на разузнавачките служби во согласност со </w:t>
      </w:r>
      <w:r w:rsidRPr="00260054">
        <w:rPr>
          <w:rFonts w:ascii="Times New Roman" w:hAnsi="Times New Roman"/>
          <w:color w:val="000000"/>
          <w:sz w:val="24"/>
          <w:szCs w:val="24"/>
        </w:rPr>
        <w:t xml:space="preserve">наодите </w:t>
      </w:r>
      <w:r>
        <w:rPr>
          <w:rFonts w:ascii="Times New Roman" w:hAnsi="Times New Roman"/>
          <w:color w:val="000000"/>
          <w:sz w:val="24"/>
          <w:szCs w:val="24"/>
        </w:rPr>
        <w:t>во</w:t>
      </w:r>
      <w:r w:rsidRPr="00260054">
        <w:rPr>
          <w:rFonts w:ascii="Times New Roman" w:hAnsi="Times New Roman"/>
          <w:color w:val="000000"/>
          <w:sz w:val="24"/>
          <w:szCs w:val="24"/>
        </w:rPr>
        <w:t xml:space="preserve"> извештајот</w:t>
      </w:r>
      <w:r>
        <w:rPr>
          <w:rFonts w:ascii="Times New Roman" w:hAnsi="Times New Roman"/>
          <w:color w:val="000000"/>
          <w:sz w:val="24"/>
          <w:szCs w:val="24"/>
        </w:rPr>
        <w:t xml:space="preserve"> на </w:t>
      </w:r>
      <w:r w:rsidRPr="00260054">
        <w:rPr>
          <w:rFonts w:ascii="Times New Roman" w:hAnsi="Times New Roman"/>
          <w:color w:val="000000"/>
          <w:sz w:val="24"/>
          <w:szCs w:val="24"/>
        </w:rPr>
        <w:t>Групата високи</w:t>
      </w:r>
      <w:r>
        <w:rPr>
          <w:rFonts w:ascii="Times New Roman" w:hAnsi="Times New Roman"/>
          <w:color w:val="000000"/>
          <w:sz w:val="24"/>
          <w:szCs w:val="24"/>
        </w:rPr>
        <w:t xml:space="preserve"> експерти за системските прашања за владеење на правото. Поранешната Управа за безбедност и контраразузнавање (УБК) е заменета со Агенција за национална безбедност (АНБ) која, за разлика од својот претходник, повеќе не е под надлежност на Министерството за внатрешни работи и нема полициски овластувања. </w:t>
      </w:r>
      <w:r>
        <w:rPr>
          <w:rFonts w:ascii="Times New Roman" w:hAnsi="Times New Roman"/>
          <w:sz w:val="24"/>
          <w:szCs w:val="24"/>
        </w:rPr>
        <w:t xml:space="preserve">АНБ е сместена во просториите на Министерството за внатрешни работи, што е во </w:t>
      </w:r>
      <w:r w:rsidRPr="00260054">
        <w:rPr>
          <w:rFonts w:ascii="Times New Roman" w:hAnsi="Times New Roman"/>
          <w:sz w:val="24"/>
          <w:szCs w:val="24"/>
        </w:rPr>
        <w:t>спротив</w:t>
      </w:r>
      <w:r>
        <w:rPr>
          <w:rFonts w:ascii="Times New Roman" w:hAnsi="Times New Roman"/>
          <w:sz w:val="24"/>
          <w:szCs w:val="24"/>
        </w:rPr>
        <w:t xml:space="preserve">ност со меѓународните стандарди и понатаму претставува </w:t>
      </w:r>
      <w:r>
        <w:rPr>
          <w:rFonts w:ascii="Times New Roman" w:hAnsi="Times New Roman"/>
          <w:color w:val="000000"/>
          <w:sz w:val="24"/>
          <w:szCs w:val="24"/>
        </w:rPr>
        <w:t>причина за загриженост.</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Оперативно-техничката агенција може да добие овластување со судски налог за следење на комуникациите како дел од кривична истрага или </w:t>
      </w:r>
      <w:r w:rsidRPr="00260054">
        <w:rPr>
          <w:rFonts w:ascii="Times New Roman" w:hAnsi="Times New Roman"/>
          <w:color w:val="000000"/>
          <w:sz w:val="24"/>
          <w:szCs w:val="24"/>
        </w:rPr>
        <w:t>во интересите</w:t>
      </w:r>
      <w:r>
        <w:rPr>
          <w:rFonts w:ascii="Times New Roman" w:hAnsi="Times New Roman"/>
          <w:color w:val="000000"/>
          <w:sz w:val="24"/>
          <w:szCs w:val="24"/>
        </w:rPr>
        <w:t xml:space="preserve"> на државната безбедност и одбрана или како дел од следење на мобилните оператори. Таа сè уште нема сопствени простории и сместена е во зграда што е во сопственост на еден од националните телекомуникациски оператори. Агенцијата ги модернизираше своите технички системи и почна да ја дигитализира постапката за добивање судски налози. Мандатот на директорот на ОТА истече во септември 2023 година, што доведе до јаз во функционирањето на Агенцијата сè до назначувањето нов директор од страна на Собранието</w:t>
      </w:r>
      <w:r w:rsidRPr="00260054">
        <w:rPr>
          <w:rFonts w:ascii="Times New Roman" w:hAnsi="Times New Roman"/>
          <w:color w:val="000000"/>
          <w:sz w:val="24"/>
          <w:szCs w:val="24"/>
        </w:rPr>
        <w:t>.</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Националниот координативен центар за сузбивање на организиран и сериозен криминал (НКЦСОСК) функционира, но за да се осигури неговото правилно функционирање, треба да се регрутира постојан кадар за да се пополнат работните места на кои моментно се наоѓа привремен кадар. Разработени се бази на податоци за подобро управување со податоци и софтвер за информациска анализа и се очекува да бидат целосно функционални пред крајот на 2023 година.</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Постојат три структури што имаат улога во спроведувањето </w:t>
      </w:r>
      <w:r>
        <w:rPr>
          <w:rFonts w:ascii="Times New Roman" w:hAnsi="Times New Roman"/>
          <w:b/>
          <w:bCs/>
          <w:color w:val="000000"/>
          <w:sz w:val="24"/>
          <w:szCs w:val="24"/>
        </w:rPr>
        <w:t>финансиски истраги</w:t>
      </w:r>
      <w:r>
        <w:rPr>
          <w:rFonts w:ascii="Times New Roman" w:hAnsi="Times New Roman"/>
          <w:color w:val="000000"/>
          <w:sz w:val="24"/>
          <w:szCs w:val="24"/>
        </w:rPr>
        <w:t xml:space="preserve">: Управата за финансиска полиција во рамките на Министерството за внатрешни работи, одговорна за финансиски криминал под полициска надлежност; Управата за финансиско разузнавање во рамките на Министерството за финансии, одговорна за разузнавачки анализи поврзани со перење пари и финансирање на тероризам; и Секторот за контрола и истраги во рамките на Царинската управа, одговорен за истраги на кривични дела во рамките на својата надлежност. </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Службата за одземање имот е дел од Секторот за меѓународна правна помош во Јавното обвинителство. Иако подготовките се во тек уште од 2021 година, Службата сè уште не е регулирана со закон и функционира врз основа на стандардни оперативни постапки.</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И Министерството за одбрана и Министерството за внатрешни работи имаат одговорности во врска со </w:t>
      </w:r>
      <w:r w:rsidR="00AB6C4C" w:rsidRPr="00AB6C4C">
        <w:rPr>
          <w:rFonts w:ascii="Times New Roman" w:hAnsi="Times New Roman"/>
          <w:color w:val="000000"/>
          <w:sz w:val="24"/>
          <w:szCs w:val="24"/>
        </w:rPr>
        <w:t>сајбер</w:t>
      </w:r>
      <w:r w:rsidR="001450A9">
        <w:rPr>
          <w:rFonts w:ascii="Times New Roman" w:hAnsi="Times New Roman"/>
          <w:color w:val="000000"/>
          <w:sz w:val="24"/>
          <w:szCs w:val="24"/>
        </w:rPr>
        <w:t xml:space="preserve"> </w:t>
      </w:r>
      <w:r>
        <w:rPr>
          <w:rFonts w:ascii="Times New Roman" w:hAnsi="Times New Roman"/>
          <w:color w:val="000000"/>
          <w:sz w:val="24"/>
          <w:szCs w:val="24"/>
        </w:rPr>
        <w:t xml:space="preserve">криминалот и </w:t>
      </w:r>
      <w:r w:rsidR="00AB6C4C" w:rsidRPr="00AB6C4C">
        <w:rPr>
          <w:rFonts w:ascii="Times New Roman" w:hAnsi="Times New Roman"/>
          <w:color w:val="000000"/>
          <w:sz w:val="24"/>
          <w:szCs w:val="24"/>
        </w:rPr>
        <w:t>сајбер</w:t>
      </w:r>
      <w:r w:rsidR="001450A9">
        <w:rPr>
          <w:rFonts w:ascii="Times New Roman" w:hAnsi="Times New Roman"/>
          <w:color w:val="000000"/>
          <w:sz w:val="24"/>
          <w:szCs w:val="24"/>
        </w:rPr>
        <w:t xml:space="preserve"> </w:t>
      </w:r>
      <w:r>
        <w:rPr>
          <w:rFonts w:ascii="Times New Roman" w:hAnsi="Times New Roman"/>
          <w:color w:val="000000"/>
          <w:sz w:val="24"/>
          <w:szCs w:val="24"/>
        </w:rPr>
        <w:t xml:space="preserve">безбедноста. Војската, исто така, развива капацитети за </w:t>
      </w:r>
      <w:r w:rsidR="00AB6C4C" w:rsidRPr="00AB6C4C">
        <w:rPr>
          <w:rFonts w:ascii="Times New Roman" w:hAnsi="Times New Roman"/>
          <w:color w:val="000000"/>
          <w:sz w:val="24"/>
          <w:szCs w:val="24"/>
        </w:rPr>
        <w:t>сајбер</w:t>
      </w:r>
      <w:r w:rsidR="001450A9">
        <w:rPr>
          <w:rFonts w:ascii="Times New Roman" w:hAnsi="Times New Roman"/>
          <w:color w:val="000000"/>
          <w:sz w:val="24"/>
          <w:szCs w:val="24"/>
        </w:rPr>
        <w:t xml:space="preserve"> </w:t>
      </w:r>
      <w:r>
        <w:rPr>
          <w:rFonts w:ascii="Times New Roman" w:hAnsi="Times New Roman"/>
          <w:color w:val="000000"/>
          <w:sz w:val="24"/>
          <w:szCs w:val="24"/>
        </w:rPr>
        <w:t xml:space="preserve">одбрана и соработува со меѓународни организации во полето на глобалната </w:t>
      </w:r>
      <w:r w:rsidR="001450A9" w:rsidRPr="001450A9">
        <w:rPr>
          <w:rFonts w:ascii="Times New Roman" w:hAnsi="Times New Roman"/>
          <w:color w:val="000000"/>
          <w:sz w:val="24"/>
          <w:szCs w:val="24"/>
        </w:rPr>
        <w:t>сајбер</w:t>
      </w:r>
      <w:r w:rsidR="001450A9">
        <w:rPr>
          <w:rFonts w:ascii="Times New Roman" w:hAnsi="Times New Roman"/>
          <w:color w:val="000000"/>
          <w:sz w:val="24"/>
          <w:szCs w:val="24"/>
        </w:rPr>
        <w:t xml:space="preserve"> </w:t>
      </w:r>
      <w:r>
        <w:rPr>
          <w:rFonts w:ascii="Times New Roman" w:hAnsi="Times New Roman"/>
          <w:color w:val="000000"/>
          <w:sz w:val="24"/>
          <w:szCs w:val="24"/>
        </w:rPr>
        <w:t xml:space="preserve">безбедност и хибридните закани. Секторот за компјутерски криминал и дигитална форензика при Министерството за внатрешни работи спроведува истраги за </w:t>
      </w:r>
      <w:r w:rsidR="00AB6C4C" w:rsidRPr="00AB6C4C">
        <w:rPr>
          <w:rFonts w:ascii="Times New Roman" w:hAnsi="Times New Roman"/>
          <w:color w:val="000000"/>
          <w:sz w:val="24"/>
          <w:szCs w:val="24"/>
        </w:rPr>
        <w:t>сајбер</w:t>
      </w:r>
      <w:r w:rsidR="001450A9">
        <w:rPr>
          <w:rFonts w:ascii="Times New Roman" w:hAnsi="Times New Roman"/>
          <w:color w:val="000000"/>
          <w:sz w:val="24"/>
          <w:szCs w:val="24"/>
        </w:rPr>
        <w:t xml:space="preserve"> </w:t>
      </w:r>
      <w:r>
        <w:rPr>
          <w:rFonts w:ascii="Times New Roman" w:hAnsi="Times New Roman"/>
          <w:color w:val="000000"/>
          <w:sz w:val="24"/>
          <w:szCs w:val="24"/>
        </w:rPr>
        <w:t>криминал со користење дигитална форензика.</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однос на </w:t>
      </w:r>
      <w:r>
        <w:rPr>
          <w:rFonts w:ascii="Times New Roman" w:hAnsi="Times New Roman"/>
          <w:b/>
          <w:bCs/>
          <w:color w:val="000000"/>
          <w:sz w:val="24"/>
          <w:szCs w:val="24"/>
        </w:rPr>
        <w:t>законската рамка</w:t>
      </w:r>
      <w:r>
        <w:rPr>
          <w:rFonts w:ascii="Times New Roman" w:hAnsi="Times New Roman"/>
          <w:color w:val="000000"/>
          <w:sz w:val="24"/>
          <w:szCs w:val="24"/>
        </w:rPr>
        <w:t>, Кривичниот законик редовно се ажурира за да остане во согласност со стандардите на ЕУ и меѓународните стандарди. Неговиот опсег е проширен за да се криминализираат активности како што се трговија на луѓе, детска порнографија на интернет, трговија со дрога, компјутерски криминал. Неодамна се додадени одредби со кои Кривичниот законик се усогласува со Конвенцијата на Советот на Европа за спречување и борба против насилството врз жените и семејното насилство.</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Државата е потписничка на „Конвенцијата за </w:t>
      </w:r>
      <w:r w:rsidR="001450A9" w:rsidRPr="001450A9">
        <w:rPr>
          <w:rFonts w:ascii="Times New Roman" w:hAnsi="Times New Roman"/>
          <w:color w:val="000000"/>
          <w:sz w:val="24"/>
          <w:szCs w:val="24"/>
        </w:rPr>
        <w:t>сајбер</w:t>
      </w:r>
      <w:r w:rsidR="001450A9">
        <w:rPr>
          <w:rFonts w:ascii="Times New Roman" w:hAnsi="Times New Roman"/>
          <w:color w:val="000000"/>
          <w:sz w:val="24"/>
          <w:szCs w:val="24"/>
        </w:rPr>
        <w:t xml:space="preserve"> </w:t>
      </w:r>
      <w:r>
        <w:rPr>
          <w:rFonts w:ascii="Times New Roman" w:hAnsi="Times New Roman"/>
          <w:color w:val="000000"/>
          <w:sz w:val="24"/>
          <w:szCs w:val="24"/>
        </w:rPr>
        <w:t>криминал за зајакнување на соработката и споделување електронски докази“ (Конвенција од Будимпешта).</w:t>
      </w:r>
      <w:r w:rsidR="00AF05B3">
        <w:rPr>
          <w:rFonts w:ascii="Times New Roman" w:hAnsi="Times New Roman"/>
          <w:color w:val="000000"/>
          <w:sz w:val="24"/>
          <w:szCs w:val="24"/>
        </w:rPr>
        <w:t xml:space="preserve"> </w:t>
      </w:r>
      <w:r>
        <w:rPr>
          <w:rFonts w:ascii="Times New Roman" w:hAnsi="Times New Roman"/>
          <w:color w:val="000000"/>
          <w:sz w:val="24"/>
          <w:szCs w:val="24"/>
        </w:rPr>
        <w:t>Северна Македонија го потпиша вториот дополнителен протокол на Конвенцијата во мај 2022 година, но сè уште не е ратификуван од Собранието.</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Северна Македонија спроведува </w:t>
      </w:r>
      <w:r w:rsidRPr="00260054">
        <w:rPr>
          <w:rFonts w:ascii="Times New Roman" w:hAnsi="Times New Roman"/>
          <w:color w:val="000000"/>
          <w:sz w:val="24"/>
          <w:szCs w:val="24"/>
        </w:rPr>
        <w:t xml:space="preserve">повеќе </w:t>
      </w:r>
      <w:r w:rsidRPr="00260054">
        <w:rPr>
          <w:rFonts w:ascii="Times New Roman" w:hAnsi="Times New Roman"/>
          <w:b/>
          <w:bCs/>
          <w:color w:val="000000"/>
          <w:sz w:val="24"/>
          <w:szCs w:val="24"/>
        </w:rPr>
        <w:t>стратешки</w:t>
      </w:r>
      <w:r>
        <w:rPr>
          <w:rFonts w:ascii="Times New Roman" w:hAnsi="Times New Roman"/>
          <w:b/>
          <w:bCs/>
          <w:color w:val="000000"/>
          <w:sz w:val="24"/>
          <w:szCs w:val="24"/>
        </w:rPr>
        <w:t xml:space="preserve"> документи</w:t>
      </w:r>
      <w:r>
        <w:rPr>
          <w:rFonts w:ascii="Times New Roman" w:hAnsi="Times New Roman"/>
          <w:color w:val="000000"/>
          <w:sz w:val="24"/>
          <w:szCs w:val="24"/>
        </w:rPr>
        <w:t xml:space="preserve"> што се однесуваат на организираниот криминал и други форми на сериозен криминал, врз основа на соодветните стратегии на ЕУ. Во </w:t>
      </w:r>
      <w:r w:rsidRPr="00260054">
        <w:rPr>
          <w:rFonts w:ascii="Times New Roman" w:hAnsi="Times New Roman"/>
          <w:color w:val="000000"/>
          <w:sz w:val="24"/>
          <w:szCs w:val="24"/>
        </w:rPr>
        <w:t>о</w:t>
      </w:r>
      <w:r w:rsidRPr="00260054">
        <w:rPr>
          <w:rFonts w:ascii="Times New Roman" w:hAnsi="Times New Roman"/>
          <w:sz w:val="24"/>
          <w:szCs w:val="24"/>
        </w:rPr>
        <w:t xml:space="preserve">вие документи </w:t>
      </w:r>
      <w:r w:rsidRPr="00AF7F57">
        <w:rPr>
          <w:rFonts w:ascii="Times New Roman" w:hAnsi="Times New Roman"/>
          <w:sz w:val="24"/>
          <w:szCs w:val="24"/>
        </w:rPr>
        <w:t xml:space="preserve">се </w:t>
      </w:r>
      <w:r w:rsidRPr="00260054">
        <w:rPr>
          <w:rFonts w:ascii="Times New Roman" w:hAnsi="Times New Roman"/>
          <w:sz w:val="24"/>
          <w:szCs w:val="24"/>
        </w:rPr>
        <w:t>вклуч</w:t>
      </w:r>
      <w:r w:rsidRPr="00AF7F57">
        <w:rPr>
          <w:rFonts w:ascii="Times New Roman" w:hAnsi="Times New Roman"/>
          <w:sz w:val="24"/>
          <w:szCs w:val="24"/>
        </w:rPr>
        <w:t>ени</w:t>
      </w:r>
      <w:r w:rsidRPr="00260054">
        <w:rPr>
          <w:rFonts w:ascii="Times New Roman" w:hAnsi="Times New Roman"/>
          <w:sz w:val="24"/>
          <w:szCs w:val="24"/>
        </w:rPr>
        <w:t xml:space="preserve">: </w:t>
      </w:r>
      <w:r>
        <w:rPr>
          <w:rFonts w:ascii="Times New Roman" w:hAnsi="Times New Roman"/>
          <w:sz w:val="24"/>
          <w:szCs w:val="24"/>
        </w:rPr>
        <w:t>Н</w:t>
      </w:r>
      <w:r w:rsidRPr="00260054">
        <w:rPr>
          <w:rFonts w:ascii="Times New Roman" w:hAnsi="Times New Roman"/>
          <w:sz w:val="24"/>
          <w:szCs w:val="24"/>
        </w:rPr>
        <w:t>ационалната стратегија за борба против трговијата со луѓе и илегалната миграција, придруж</w:t>
      </w:r>
      <w:r w:rsidRPr="00AF7F57">
        <w:rPr>
          <w:rFonts w:ascii="Times New Roman" w:hAnsi="Times New Roman"/>
          <w:sz w:val="24"/>
          <w:szCs w:val="24"/>
        </w:rPr>
        <w:t>ена</w:t>
      </w:r>
      <w:r w:rsidRPr="00260054">
        <w:rPr>
          <w:rFonts w:ascii="Times New Roman" w:hAnsi="Times New Roman"/>
          <w:sz w:val="24"/>
          <w:szCs w:val="24"/>
        </w:rPr>
        <w:t xml:space="preserve"> од </w:t>
      </w:r>
      <w:r>
        <w:rPr>
          <w:rFonts w:ascii="Times New Roman" w:hAnsi="Times New Roman"/>
          <w:sz w:val="24"/>
          <w:szCs w:val="24"/>
        </w:rPr>
        <w:t>А</w:t>
      </w:r>
      <w:r w:rsidRPr="00260054">
        <w:rPr>
          <w:rFonts w:ascii="Times New Roman" w:hAnsi="Times New Roman"/>
          <w:sz w:val="24"/>
          <w:szCs w:val="24"/>
        </w:rPr>
        <w:t>кциски план (</w:t>
      </w:r>
      <w:r w:rsidRPr="00260054">
        <w:rPr>
          <w:rFonts w:ascii="Times New Roman" w:hAnsi="Times New Roman"/>
          <w:color w:val="000000"/>
          <w:sz w:val="24"/>
          <w:szCs w:val="24"/>
        </w:rPr>
        <w:t xml:space="preserve">2021 - 2025), </w:t>
      </w:r>
      <w:r>
        <w:rPr>
          <w:rFonts w:ascii="Times New Roman" w:hAnsi="Times New Roman"/>
          <w:color w:val="000000"/>
          <w:sz w:val="24"/>
          <w:szCs w:val="24"/>
        </w:rPr>
        <w:t>Н</w:t>
      </w:r>
      <w:r w:rsidRPr="00260054">
        <w:rPr>
          <w:rFonts w:ascii="Times New Roman" w:hAnsi="Times New Roman"/>
          <w:color w:val="000000"/>
          <w:sz w:val="24"/>
          <w:szCs w:val="24"/>
        </w:rPr>
        <w:t xml:space="preserve">ационалната стратегија против трговијата со деца (2021 - 2025), </w:t>
      </w:r>
      <w:r>
        <w:rPr>
          <w:rFonts w:ascii="Times New Roman" w:hAnsi="Times New Roman"/>
          <w:color w:val="000000"/>
          <w:sz w:val="24"/>
          <w:szCs w:val="24"/>
        </w:rPr>
        <w:t>Н</w:t>
      </w:r>
      <w:r w:rsidRPr="00260054">
        <w:rPr>
          <w:rFonts w:ascii="Times New Roman" w:hAnsi="Times New Roman"/>
          <w:color w:val="000000"/>
          <w:sz w:val="24"/>
          <w:szCs w:val="24"/>
        </w:rPr>
        <w:t xml:space="preserve">ационалната стратегија за дрога (2021 - 2025), </w:t>
      </w:r>
      <w:r>
        <w:rPr>
          <w:rFonts w:ascii="Times New Roman" w:hAnsi="Times New Roman"/>
          <w:color w:val="000000"/>
          <w:sz w:val="24"/>
          <w:szCs w:val="24"/>
        </w:rPr>
        <w:t>С</w:t>
      </w:r>
      <w:r w:rsidRPr="00260054">
        <w:rPr>
          <w:rFonts w:ascii="Times New Roman" w:hAnsi="Times New Roman"/>
          <w:color w:val="000000"/>
          <w:sz w:val="24"/>
          <w:szCs w:val="24"/>
        </w:rPr>
        <w:t xml:space="preserve">тратегијата за градење капацитети за спроведување финансиски истраги и конфискување имот, со </w:t>
      </w:r>
      <w:r>
        <w:rPr>
          <w:rFonts w:ascii="Times New Roman" w:hAnsi="Times New Roman"/>
          <w:color w:val="000000"/>
          <w:sz w:val="24"/>
          <w:szCs w:val="24"/>
        </w:rPr>
        <w:t>А</w:t>
      </w:r>
      <w:r w:rsidRPr="00260054">
        <w:rPr>
          <w:rFonts w:ascii="Times New Roman" w:hAnsi="Times New Roman"/>
          <w:color w:val="000000"/>
          <w:sz w:val="24"/>
          <w:szCs w:val="24"/>
        </w:rPr>
        <w:t xml:space="preserve">кциски план (2021 -2023), </w:t>
      </w:r>
      <w:r>
        <w:rPr>
          <w:rFonts w:ascii="Times New Roman" w:hAnsi="Times New Roman"/>
          <w:color w:val="000000"/>
          <w:sz w:val="24"/>
          <w:szCs w:val="24"/>
        </w:rPr>
        <w:t>Н</w:t>
      </w:r>
      <w:r w:rsidRPr="00260054">
        <w:rPr>
          <w:rFonts w:ascii="Times New Roman" w:hAnsi="Times New Roman"/>
          <w:color w:val="000000"/>
          <w:sz w:val="24"/>
          <w:szCs w:val="24"/>
        </w:rPr>
        <w:t xml:space="preserve">ационалната стратегија за контрола на мало и лесно оружје, со </w:t>
      </w:r>
      <w:r>
        <w:rPr>
          <w:rFonts w:ascii="Times New Roman" w:hAnsi="Times New Roman"/>
          <w:color w:val="000000"/>
          <w:sz w:val="24"/>
          <w:szCs w:val="24"/>
        </w:rPr>
        <w:t>А</w:t>
      </w:r>
      <w:r w:rsidRPr="00260054">
        <w:rPr>
          <w:rFonts w:ascii="Times New Roman" w:hAnsi="Times New Roman"/>
          <w:color w:val="000000"/>
          <w:sz w:val="24"/>
          <w:szCs w:val="24"/>
        </w:rPr>
        <w:t xml:space="preserve">кциски план (2022 - 2024) и </w:t>
      </w:r>
      <w:r>
        <w:rPr>
          <w:rFonts w:ascii="Times New Roman" w:hAnsi="Times New Roman"/>
          <w:color w:val="000000"/>
          <w:sz w:val="24"/>
          <w:szCs w:val="24"/>
        </w:rPr>
        <w:t>Н</w:t>
      </w:r>
      <w:r w:rsidRPr="00260054">
        <w:rPr>
          <w:rFonts w:ascii="Times New Roman" w:hAnsi="Times New Roman"/>
          <w:color w:val="000000"/>
          <w:sz w:val="24"/>
          <w:szCs w:val="24"/>
        </w:rPr>
        <w:t>ационалната</w:t>
      </w:r>
      <w:r w:rsidRPr="00E75DAB">
        <w:rPr>
          <w:rFonts w:ascii="Times New Roman" w:hAnsi="Times New Roman"/>
          <w:color w:val="000000"/>
          <w:sz w:val="24"/>
          <w:szCs w:val="24"/>
        </w:rPr>
        <w:t xml:space="preserve"> стратегија за спречување перење пари и финансирање на тероризам (2021 - 2023).</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Во согласност со методологијата и политиките на Интерпол, во 2022 година Министерството за внатрешни работи подготви и претстави „национална процена на закани од организиран и сериозен криминал (СОКТА) 2021“. Таа била з</w:t>
      </w:r>
      <w:r w:rsidRPr="00E75DAB">
        <w:rPr>
          <w:rFonts w:ascii="Times New Roman" w:hAnsi="Times New Roman"/>
          <w:color w:val="000000"/>
          <w:sz w:val="24"/>
          <w:szCs w:val="24"/>
        </w:rPr>
        <w:t>апочната</w:t>
      </w:r>
      <w:r>
        <w:rPr>
          <w:rFonts w:ascii="Times New Roman" w:hAnsi="Times New Roman"/>
          <w:color w:val="000000"/>
          <w:sz w:val="24"/>
          <w:szCs w:val="24"/>
        </w:rPr>
        <w:t xml:space="preserve"> на почетокот на 2022 година и ги дефинира приоритетите во борбата против организираниот и сериозниот криминал.</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врска со </w:t>
      </w:r>
      <w:r>
        <w:rPr>
          <w:rFonts w:ascii="Times New Roman" w:hAnsi="Times New Roman"/>
          <w:b/>
          <w:bCs/>
          <w:color w:val="000000"/>
          <w:sz w:val="24"/>
          <w:szCs w:val="24"/>
        </w:rPr>
        <w:t>трговијата со луѓе</w:t>
      </w:r>
      <w:r>
        <w:rPr>
          <w:rFonts w:ascii="Times New Roman" w:hAnsi="Times New Roman"/>
          <w:color w:val="000000"/>
          <w:sz w:val="24"/>
          <w:szCs w:val="24"/>
        </w:rPr>
        <w:t xml:space="preserve">, во согласност со препораките од Групата експерти за акција против трговија со луѓе, во ноември 2022 година беше донесен Закон за државен надоместок за жртви на кривични дела со насилство, кој го опфаќа и кривичното дело трговија со луѓе. Во март 2023 година Министерството за внатрешни работи и Државниот инспекторат за труд </w:t>
      </w:r>
      <w:r w:rsidRPr="00E75DAB">
        <w:rPr>
          <w:rFonts w:ascii="Times New Roman" w:hAnsi="Times New Roman"/>
          <w:color w:val="000000"/>
          <w:sz w:val="24"/>
          <w:szCs w:val="24"/>
        </w:rPr>
        <w:t>потпишаа меморандум</w:t>
      </w:r>
      <w:r>
        <w:rPr>
          <w:rFonts w:ascii="Times New Roman" w:hAnsi="Times New Roman"/>
          <w:color w:val="000000"/>
          <w:sz w:val="24"/>
          <w:szCs w:val="24"/>
        </w:rPr>
        <w:t xml:space="preserve"> за соработка на иницијатива на Националната комисија за борба против трговија со луѓе, со цел да се зајакне соработката во превенцијата, детекцијата и потиснувањето на трговијата со луѓе за цели на трудова експлоатација и да се осигури навремена заштита на жртвите на трудова експлоатација и децата жртви на каква било форма на експлоатација. </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sidRPr="00E75DAB">
        <w:rPr>
          <w:rFonts w:ascii="Times New Roman" w:hAnsi="Times New Roman"/>
          <w:color w:val="000000"/>
          <w:sz w:val="24"/>
          <w:szCs w:val="24"/>
        </w:rPr>
        <w:t>Во врска со</w:t>
      </w:r>
      <w:r>
        <w:rPr>
          <w:rFonts w:ascii="Times New Roman" w:hAnsi="Times New Roman"/>
          <w:color w:val="000000"/>
          <w:sz w:val="24"/>
          <w:szCs w:val="24"/>
        </w:rPr>
        <w:t xml:space="preserve"> </w:t>
      </w:r>
      <w:r>
        <w:rPr>
          <w:rFonts w:ascii="Times New Roman" w:hAnsi="Times New Roman"/>
          <w:b/>
          <w:bCs/>
          <w:color w:val="000000"/>
          <w:sz w:val="24"/>
          <w:szCs w:val="24"/>
        </w:rPr>
        <w:t>малото и лесно оружје</w:t>
      </w:r>
      <w:r>
        <w:rPr>
          <w:rFonts w:ascii="Times New Roman" w:hAnsi="Times New Roman"/>
          <w:color w:val="000000"/>
          <w:sz w:val="24"/>
          <w:szCs w:val="24"/>
        </w:rPr>
        <w:t xml:space="preserve">, националното законодавство сè уште не е усогласено со директивите и регулативите на ЕУ. По донесувањето на Законот за развој, производство и промет на воени стоки, законодавството за спроведување е финализирано во 2022 година. Законот за оружје на Северна Македонија е делумно усогласен со </w:t>
      </w:r>
      <w:r w:rsidRPr="00E75DAB">
        <w:rPr>
          <w:rFonts w:ascii="Times New Roman" w:hAnsi="Times New Roman"/>
          <w:color w:val="000000"/>
          <w:sz w:val="24"/>
          <w:szCs w:val="24"/>
        </w:rPr>
        <w:t>Директив</w:t>
      </w:r>
      <w:r>
        <w:rPr>
          <w:rFonts w:ascii="Times New Roman" w:hAnsi="Times New Roman"/>
          <w:color w:val="000000"/>
          <w:sz w:val="24"/>
          <w:szCs w:val="24"/>
        </w:rPr>
        <w:t>ата 021/555(ЕУ) и сè уште се очекува усогласување со Директивата за спроведување 2019/68 за означување на оружјето и Директивата за спроведување 2019/69 за техничка спецификација на оружјето за тревога и сигнализација. Одговорен орган е Министерството за внатрешни работи. Постои Н</w:t>
      </w:r>
      <w:r w:rsidRPr="00E75DAB">
        <w:rPr>
          <w:rFonts w:ascii="Times New Roman" w:hAnsi="Times New Roman"/>
          <w:color w:val="000000"/>
          <w:sz w:val="24"/>
          <w:szCs w:val="24"/>
        </w:rPr>
        <w:t>ационална комисија за контрола на оружје, која соработува со релевантните национални органи (министерствата за надворешни работи, одбрана, правда, финансии</w:t>
      </w:r>
      <w:r w:rsidRPr="00ED3633">
        <w:rPr>
          <w:rFonts w:ascii="Times New Roman" w:hAnsi="Times New Roman"/>
          <w:color w:val="000000"/>
          <w:sz w:val="24"/>
          <w:szCs w:val="24"/>
        </w:rPr>
        <w:t xml:space="preserve"> (царинска управа), надворешни работи и </w:t>
      </w:r>
      <w:r>
        <w:rPr>
          <w:rFonts w:ascii="Times New Roman" w:hAnsi="Times New Roman"/>
          <w:color w:val="000000"/>
          <w:sz w:val="24"/>
          <w:szCs w:val="24"/>
        </w:rPr>
        <w:t>А</w:t>
      </w:r>
      <w:r w:rsidRPr="00E75DAB">
        <w:rPr>
          <w:rFonts w:ascii="Times New Roman" w:hAnsi="Times New Roman"/>
          <w:color w:val="000000"/>
          <w:sz w:val="24"/>
          <w:szCs w:val="24"/>
        </w:rPr>
        <w:t>генцијата</w:t>
      </w:r>
      <w:r>
        <w:rPr>
          <w:rFonts w:ascii="Times New Roman" w:hAnsi="Times New Roman"/>
          <w:color w:val="000000"/>
          <w:sz w:val="24"/>
          <w:szCs w:val="24"/>
        </w:rPr>
        <w:t xml:space="preserve"> за запленет и конфискуван имот (за уништување на оружјето).</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sidRPr="00E75DAB">
        <w:rPr>
          <w:rFonts w:ascii="Times New Roman" w:hAnsi="Times New Roman"/>
          <w:color w:val="000000"/>
          <w:sz w:val="24"/>
          <w:szCs w:val="24"/>
        </w:rPr>
        <w:t>Во рамк</w:t>
      </w:r>
      <w:r>
        <w:rPr>
          <w:rFonts w:ascii="Times New Roman" w:hAnsi="Times New Roman"/>
          <w:color w:val="000000"/>
          <w:sz w:val="24"/>
          <w:szCs w:val="24"/>
        </w:rPr>
        <w:t>ите</w:t>
      </w:r>
      <w:r w:rsidRPr="00E75DAB">
        <w:rPr>
          <w:rFonts w:ascii="Times New Roman" w:hAnsi="Times New Roman"/>
          <w:color w:val="000000"/>
          <w:sz w:val="24"/>
          <w:szCs w:val="24"/>
        </w:rPr>
        <w:t xml:space="preserve"> на</w:t>
      </w:r>
      <w:r>
        <w:rPr>
          <w:rFonts w:ascii="Times New Roman" w:hAnsi="Times New Roman"/>
          <w:color w:val="000000"/>
          <w:sz w:val="24"/>
          <w:szCs w:val="24"/>
        </w:rPr>
        <w:t xml:space="preserve"> акциите на Западен Балкан во однос на Акцискиот план за недозволена трговија со огнено оружје на ЕУ, кои соодветствуваат на целите на Регионалниот патоказ за подобра контрола на МЛО на Западен Балкан, Северна Македонија ги подобри истрагата и евиденцијата на капацитетите за огнено оружје и постигна одреден напредок со ограничено уништување на конфискуваното оружје и вишокот муниција. Неколку активности поврзани со спроведувањето на Патоказот и понатаму се ограничени, вклучително и зголемувањето на свеста, информирањето и едукацијата за опасностите и ризиците поврзани со злоупотребата, недозволеното поседување и трговијата со огнено оружје/МЛО, како и намалувањето на недозволеното огнено оружје преку легализација, доброволно предавање и деактивирање.</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врска со </w:t>
      </w:r>
      <w:r w:rsidRPr="00AF7F57">
        <w:rPr>
          <w:rFonts w:ascii="Times New Roman" w:hAnsi="Times New Roman"/>
          <w:b/>
          <w:bCs/>
          <w:color w:val="000000"/>
          <w:sz w:val="24"/>
          <w:szCs w:val="24"/>
        </w:rPr>
        <w:t>сексуалната злоупотреба на деца</w:t>
      </w:r>
      <w:r>
        <w:rPr>
          <w:rFonts w:ascii="Times New Roman" w:hAnsi="Times New Roman"/>
          <w:color w:val="000000"/>
          <w:sz w:val="24"/>
          <w:szCs w:val="24"/>
        </w:rPr>
        <w:t xml:space="preserve">, Секторот за </w:t>
      </w:r>
      <w:r w:rsidR="001450A9" w:rsidRPr="001450A9">
        <w:rPr>
          <w:rFonts w:ascii="Times New Roman" w:hAnsi="Times New Roman"/>
          <w:color w:val="000000"/>
          <w:sz w:val="24"/>
          <w:szCs w:val="24"/>
        </w:rPr>
        <w:t>сајбер</w:t>
      </w:r>
      <w:r w:rsidR="001450A9">
        <w:rPr>
          <w:rFonts w:ascii="Times New Roman" w:hAnsi="Times New Roman"/>
          <w:color w:val="000000"/>
          <w:sz w:val="24"/>
          <w:szCs w:val="24"/>
        </w:rPr>
        <w:t xml:space="preserve"> </w:t>
      </w:r>
      <w:r>
        <w:rPr>
          <w:rFonts w:ascii="Times New Roman" w:hAnsi="Times New Roman"/>
          <w:color w:val="000000"/>
          <w:sz w:val="24"/>
          <w:szCs w:val="24"/>
        </w:rPr>
        <w:t xml:space="preserve">криминал и дигитална форензика соработува со I-24/7 Мрежата за сексуална злоупотреба на деца - </w:t>
      </w:r>
      <w:r w:rsidRPr="00E75DAB">
        <w:rPr>
          <w:rFonts w:ascii="Times New Roman" w:hAnsi="Times New Roman"/>
          <w:color w:val="000000"/>
          <w:sz w:val="24"/>
          <w:szCs w:val="24"/>
        </w:rPr>
        <w:t>ISCE н</w:t>
      </w:r>
      <w:r>
        <w:rPr>
          <w:rFonts w:ascii="Times New Roman" w:hAnsi="Times New Roman"/>
          <w:color w:val="000000"/>
          <w:sz w:val="24"/>
          <w:szCs w:val="24"/>
        </w:rPr>
        <w:t>а Интерпол.</w:t>
      </w:r>
      <w:r w:rsidR="00AF05B3">
        <w:rPr>
          <w:rFonts w:ascii="Times New Roman" w:hAnsi="Times New Roman"/>
          <w:color w:val="000000"/>
          <w:sz w:val="24"/>
          <w:szCs w:val="24"/>
        </w:rPr>
        <w:t xml:space="preserve"> </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u w:val="single"/>
        </w:rPr>
        <w:t>Капацитет за спроведување и извршување</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2022 година </w:t>
      </w:r>
      <w:r w:rsidR="004F7404">
        <w:rPr>
          <w:rFonts w:ascii="Times New Roman" w:hAnsi="Times New Roman"/>
          <w:color w:val="000000"/>
          <w:sz w:val="24"/>
          <w:szCs w:val="24"/>
        </w:rPr>
        <w:t xml:space="preserve">беше </w:t>
      </w:r>
      <w:r>
        <w:rPr>
          <w:rFonts w:ascii="Times New Roman" w:hAnsi="Times New Roman"/>
          <w:color w:val="000000"/>
          <w:sz w:val="24"/>
          <w:szCs w:val="24"/>
        </w:rPr>
        <w:t xml:space="preserve">започната 21 истрага на организирани криминални групи што опфатиле вкупно 102 лица (во споредба со 17 истраги во 2021 година); од нив, 13 сè уште се во тек (во споредба со 11 во 2021 година) и осум </w:t>
      </w:r>
      <w:r w:rsidR="004F7404">
        <w:rPr>
          <w:rFonts w:ascii="Times New Roman" w:hAnsi="Times New Roman"/>
          <w:color w:val="000000"/>
          <w:sz w:val="24"/>
          <w:szCs w:val="24"/>
        </w:rPr>
        <w:t xml:space="preserve">беа </w:t>
      </w:r>
      <w:r>
        <w:rPr>
          <w:rFonts w:ascii="Times New Roman" w:hAnsi="Times New Roman"/>
          <w:color w:val="000000"/>
          <w:sz w:val="24"/>
          <w:szCs w:val="24"/>
        </w:rPr>
        <w:t xml:space="preserve">затворени во 2022 (шест во 2021 година), од кои една била прераспределена и една прекината. Во девет случаи </w:t>
      </w:r>
      <w:r w:rsidR="004F7404">
        <w:rPr>
          <w:rFonts w:ascii="Times New Roman" w:hAnsi="Times New Roman"/>
          <w:color w:val="000000"/>
          <w:sz w:val="24"/>
          <w:szCs w:val="24"/>
        </w:rPr>
        <w:t xml:space="preserve">беа </w:t>
      </w:r>
      <w:r>
        <w:rPr>
          <w:rFonts w:ascii="Times New Roman" w:hAnsi="Times New Roman"/>
          <w:color w:val="000000"/>
          <w:sz w:val="24"/>
          <w:szCs w:val="24"/>
        </w:rPr>
        <w:t xml:space="preserve">применети мерки за запленување. Против 27 лица било поднесено обвинение и </w:t>
      </w:r>
      <w:r w:rsidR="004F7404">
        <w:rPr>
          <w:rFonts w:ascii="Times New Roman" w:hAnsi="Times New Roman"/>
          <w:color w:val="000000"/>
          <w:sz w:val="24"/>
          <w:szCs w:val="24"/>
        </w:rPr>
        <w:t xml:space="preserve">беа </w:t>
      </w:r>
      <w:r>
        <w:rPr>
          <w:rFonts w:ascii="Times New Roman" w:hAnsi="Times New Roman"/>
          <w:color w:val="000000"/>
          <w:sz w:val="24"/>
          <w:szCs w:val="24"/>
        </w:rPr>
        <w:t xml:space="preserve">изречени осум пресуди што резултирале со затворски казни или суспендирани казни со условен отпуст. Се спроведува механизмот за надворешен надзор. Во рамките на Јавното обвинителство, Специјалниот оддел за истрага и гонење на кривични дела сторени од лица со полициски овластувања и припадници на затворската полиција има само двајца истражители. Две работни места не се пополнети. За време на извештајниот период Одделот регистрирал 183 случаи против 299 лица (135 во 2021 година), </w:t>
      </w:r>
      <w:r w:rsidR="004F7404">
        <w:rPr>
          <w:rFonts w:ascii="Times New Roman" w:hAnsi="Times New Roman"/>
          <w:color w:val="000000"/>
          <w:sz w:val="24"/>
          <w:szCs w:val="24"/>
        </w:rPr>
        <w:t xml:space="preserve">беа </w:t>
      </w:r>
      <w:r>
        <w:rPr>
          <w:rFonts w:ascii="Times New Roman" w:hAnsi="Times New Roman"/>
          <w:color w:val="000000"/>
          <w:sz w:val="24"/>
          <w:szCs w:val="24"/>
        </w:rPr>
        <w:t xml:space="preserve">изречени 25 пресуди / казни, осум случаи </w:t>
      </w:r>
      <w:r w:rsidR="004F7404">
        <w:rPr>
          <w:rFonts w:ascii="Times New Roman" w:hAnsi="Times New Roman"/>
          <w:color w:val="000000"/>
          <w:sz w:val="24"/>
          <w:szCs w:val="24"/>
        </w:rPr>
        <w:t xml:space="preserve">беа </w:t>
      </w:r>
      <w:r>
        <w:rPr>
          <w:rFonts w:ascii="Times New Roman" w:hAnsi="Times New Roman"/>
          <w:color w:val="000000"/>
          <w:sz w:val="24"/>
          <w:szCs w:val="24"/>
        </w:rPr>
        <w:t xml:space="preserve">прераспределени, а 74 случаи </w:t>
      </w:r>
      <w:r w:rsidR="004F7404">
        <w:rPr>
          <w:rFonts w:ascii="Times New Roman" w:hAnsi="Times New Roman"/>
          <w:color w:val="000000"/>
          <w:sz w:val="24"/>
          <w:szCs w:val="24"/>
        </w:rPr>
        <w:t xml:space="preserve">беа </w:t>
      </w:r>
      <w:r>
        <w:rPr>
          <w:rFonts w:ascii="Times New Roman" w:hAnsi="Times New Roman"/>
          <w:color w:val="000000"/>
          <w:sz w:val="24"/>
          <w:szCs w:val="24"/>
        </w:rPr>
        <w:t>отфрлени.</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НКЦСОСК функционира и неговата улога и активности се зголемиле во 2022 година. Сите институции што учествуваат во НКЦСОСК ги номинирале своите претставници во 2022 година. Центарот: ја олеснува размената на податоци и информации помеѓу поврзаните институции; споделува информации помеѓу институциите „кога тоа е неопходно (need-to-know); ги координира активностите помеѓу институциите во случаи во кои повеќе од една институција добила барање за физичко или правно лице; и ја поддржува меѓународната размена на информации, особено помеѓу полициските сили.</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Основното јавно обвинителство за гонење на организиран криминал и корупција не располага со доволно човечки ресурси и нема финансиски средства за стручните служби. Потребна е специјализација во рамките на Обвинителството, како и проактивен пристап во следењето на случаите.</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sidRPr="00BF7D21">
        <w:rPr>
          <w:rFonts w:ascii="Times New Roman" w:hAnsi="Times New Roman"/>
          <w:color w:val="000000"/>
          <w:sz w:val="24"/>
          <w:szCs w:val="24"/>
        </w:rPr>
        <w:t>Истражните центри во рамките на Основното јавно обвинителство што се наоѓаат</w:t>
      </w:r>
      <w:r>
        <w:rPr>
          <w:rFonts w:ascii="Times New Roman" w:hAnsi="Times New Roman"/>
          <w:color w:val="000000"/>
          <w:sz w:val="24"/>
          <w:szCs w:val="24"/>
        </w:rPr>
        <w:t xml:space="preserve"> во Скопје, Куманово и Тетово и во рамките на Основното јавно обвинителство за гонење на организиран криминал и корупција функционираат, но сè уште немаат доволно човечки и финансиски ресурси и соодветна опрема за правилно работење. Овие истражни центри не ги оствариле своите цели за поефикасни истраги и подобра координација помеѓу обвинителите, полицијата и други релевантни тела.</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Државата учествува во активности за </w:t>
      </w:r>
      <w:r w:rsidRPr="00BF7D21">
        <w:rPr>
          <w:rFonts w:ascii="Times New Roman" w:hAnsi="Times New Roman"/>
          <w:b/>
          <w:bCs/>
          <w:color w:val="000000"/>
          <w:sz w:val="24"/>
          <w:szCs w:val="24"/>
        </w:rPr>
        <w:t>меѓународна полициска соработка</w:t>
      </w:r>
      <w:r>
        <w:rPr>
          <w:rFonts w:ascii="Times New Roman" w:hAnsi="Times New Roman"/>
          <w:color w:val="000000"/>
          <w:sz w:val="24"/>
          <w:szCs w:val="24"/>
        </w:rPr>
        <w:t xml:space="preserve"> преку главните канали за соработка </w:t>
      </w:r>
      <w:r w:rsidRPr="00E75DAB">
        <w:rPr>
          <w:rFonts w:ascii="Times New Roman" w:hAnsi="Times New Roman"/>
          <w:color w:val="000000"/>
          <w:sz w:val="24"/>
          <w:szCs w:val="24"/>
        </w:rPr>
        <w:t>(И</w:t>
      </w:r>
      <w:r>
        <w:rPr>
          <w:rFonts w:ascii="Times New Roman" w:hAnsi="Times New Roman"/>
          <w:color w:val="000000"/>
          <w:sz w:val="24"/>
          <w:szCs w:val="24"/>
        </w:rPr>
        <w:t>нтерпол</w:t>
      </w:r>
      <w:r w:rsidRPr="00E75DAB">
        <w:rPr>
          <w:rFonts w:ascii="Times New Roman" w:hAnsi="Times New Roman"/>
          <w:color w:val="000000"/>
          <w:sz w:val="24"/>
          <w:szCs w:val="24"/>
        </w:rPr>
        <w:t>, Европол и</w:t>
      </w:r>
      <w:r>
        <w:rPr>
          <w:rFonts w:ascii="Times New Roman" w:hAnsi="Times New Roman"/>
          <w:color w:val="000000"/>
          <w:sz w:val="24"/>
          <w:szCs w:val="24"/>
        </w:rPr>
        <w:t xml:space="preserve"> Центарот за спроведување на законот во Југоисточна Европа (СЕЛЕК)). Нивото на соработка и размена на информации во Европол е добро и се зголемило во 2022 година. Северна Македонија учествува во проектите за анализа на Европол во полето на организиран и сериозен криминал и борба против тероризмот. Министерството, исто така, дало придонес за развојот на процената на закани од организиран и сериозен криминал во ЕУ на Европол (СОКТА). Во 2022 година релевантните органи учествувале во активности што претставуваат дел од „Хидра“, проектот на Европол за анализа за исламскиот тероризам.</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Националното централно биро (НЦБ) Интерпол Скопје работи на проширување на системот за комуникација Интерпол I-24/7. Обезбедено е поврзување со некои од базите на податоци што се достапни во I-24/7. Националните органи и НЦБ Интерпол работат на проширување на пристапот до други бази на податоци во тој систем.</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2022 година </w:t>
      </w:r>
      <w:r w:rsidR="004F7404">
        <w:rPr>
          <w:rFonts w:ascii="Times New Roman" w:hAnsi="Times New Roman"/>
          <w:color w:val="000000"/>
          <w:sz w:val="24"/>
          <w:szCs w:val="24"/>
        </w:rPr>
        <w:t xml:space="preserve">беа </w:t>
      </w:r>
      <w:r>
        <w:rPr>
          <w:rFonts w:ascii="Times New Roman" w:hAnsi="Times New Roman"/>
          <w:color w:val="000000"/>
          <w:sz w:val="24"/>
          <w:szCs w:val="24"/>
        </w:rPr>
        <w:t>отворени 1.887 нови случаи во Секторот за меѓународна полициска соработка (1.429 во НЦБ Интерпол, 254 во Европол, 151 кај службениците за врски и 53 во СЕЛЕК). Најголем дел од случаите се однесуваат на нелегална трговија со дрога, нелегална трговија со оружје, финансиски и компјутерски криминал, насилен криминал, моторни возила, нелегална миграција и трговија со луѓе, компјутерски криминал и исчезнати лица.</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Оперативната меѓународна полициска соработка </w:t>
      </w:r>
      <w:r w:rsidRPr="00E75DAB">
        <w:rPr>
          <w:rFonts w:ascii="Times New Roman" w:hAnsi="Times New Roman"/>
          <w:color w:val="000000"/>
          <w:sz w:val="24"/>
          <w:szCs w:val="24"/>
        </w:rPr>
        <w:t>со соседните</w:t>
      </w:r>
      <w:r>
        <w:rPr>
          <w:rFonts w:ascii="Times New Roman" w:hAnsi="Times New Roman"/>
          <w:color w:val="000000"/>
          <w:sz w:val="24"/>
          <w:szCs w:val="24"/>
        </w:rPr>
        <w:t xml:space="preserve"> земји ги опфаќа Албанија, Србија, Грција и Бугарија и се одвива преку етаблирани канали: НЦБ Интерпол, н</w:t>
      </w:r>
      <w:r w:rsidRPr="00E75DAB">
        <w:rPr>
          <w:rFonts w:ascii="Times New Roman" w:hAnsi="Times New Roman"/>
          <w:color w:val="000000"/>
          <w:sz w:val="24"/>
          <w:szCs w:val="24"/>
        </w:rPr>
        <w:t>ац</w:t>
      </w:r>
      <w:r>
        <w:rPr>
          <w:rFonts w:ascii="Times New Roman" w:hAnsi="Times New Roman"/>
          <w:color w:val="000000"/>
          <w:sz w:val="24"/>
          <w:szCs w:val="24"/>
        </w:rPr>
        <w:t>ионалните единици на Европол и СЕЛЕК.</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Северна Македонија учествува и во Европската мултидисциплинарна платформа против криминални закани (ЕМПАКТ). Во 2022 година државата учествувала во 26 оперативни акции и била ководач на една оперативна акција (дел од оперативниот акциски план (ОАП) за огнено оружје). Во 2023 година Северна Македонија значително го зголемила своето учество во ЕМПАКТ и вклучена е во 98 оперативни акции. Таа е ководач на четири оперативни акции (две како дел од ОАП за недозволена трговија со огнено оружје, една како дел од ОАП </w:t>
      </w:r>
      <w:r w:rsidRPr="00E75DAB">
        <w:rPr>
          <w:rFonts w:ascii="Times New Roman" w:hAnsi="Times New Roman"/>
          <w:color w:val="000000"/>
          <w:sz w:val="24"/>
          <w:szCs w:val="24"/>
        </w:rPr>
        <w:t xml:space="preserve">за </w:t>
      </w:r>
      <w:r>
        <w:rPr>
          <w:rFonts w:ascii="Times New Roman" w:hAnsi="Times New Roman"/>
          <w:color w:val="000000"/>
          <w:sz w:val="24"/>
          <w:szCs w:val="24"/>
        </w:rPr>
        <w:t>криумчарење</w:t>
      </w:r>
      <w:r w:rsidRPr="00E75DAB">
        <w:rPr>
          <w:rFonts w:ascii="Times New Roman" w:hAnsi="Times New Roman"/>
          <w:color w:val="000000"/>
          <w:sz w:val="24"/>
          <w:szCs w:val="24"/>
        </w:rPr>
        <w:t xml:space="preserve"> мигранти</w:t>
      </w:r>
      <w:r>
        <w:rPr>
          <w:rFonts w:ascii="Times New Roman" w:hAnsi="Times New Roman"/>
          <w:color w:val="000000"/>
          <w:sz w:val="24"/>
          <w:szCs w:val="24"/>
        </w:rPr>
        <w:t xml:space="preserve"> и една како дел од ОАП за недозволена </w:t>
      </w:r>
      <w:r w:rsidRPr="0088277C">
        <w:rPr>
          <w:rFonts w:ascii="Times New Roman" w:hAnsi="Times New Roman"/>
          <w:color w:val="000000"/>
          <w:sz w:val="24"/>
          <w:szCs w:val="24"/>
        </w:rPr>
        <w:t>трговија со кокаин</w:t>
      </w:r>
      <w:r>
        <w:rPr>
          <w:rFonts w:ascii="Times New Roman" w:hAnsi="Times New Roman"/>
          <w:color w:val="000000"/>
          <w:sz w:val="24"/>
          <w:szCs w:val="24"/>
        </w:rPr>
        <w:t xml:space="preserve">, канабис и хероин). Северна Македонија продолжи да </w:t>
      </w:r>
      <w:r w:rsidRPr="00A40CCA">
        <w:rPr>
          <w:rFonts w:ascii="Times New Roman" w:hAnsi="Times New Roman"/>
          <w:color w:val="000000"/>
          <w:sz w:val="24"/>
          <w:szCs w:val="24"/>
        </w:rPr>
        <w:t>учествува во деновите на заедничка</w:t>
      </w:r>
      <w:r>
        <w:rPr>
          <w:rFonts w:ascii="Times New Roman" w:hAnsi="Times New Roman"/>
          <w:color w:val="000000"/>
          <w:sz w:val="24"/>
          <w:szCs w:val="24"/>
        </w:rPr>
        <w:t xml:space="preserve"> акција на ЕМПАКТ. </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Соработката со ЦЕПОЛ е заснована врз Работен договор уште од 2017 година. </w:t>
      </w:r>
      <w:r>
        <w:rPr>
          <w:rFonts w:ascii="Times New Roman" w:hAnsi="Times New Roman"/>
          <w:sz w:val="24"/>
          <w:szCs w:val="24"/>
        </w:rPr>
        <w:t xml:space="preserve">Во согласност </w:t>
      </w:r>
      <w:r w:rsidRPr="00A40CCA">
        <w:rPr>
          <w:rFonts w:ascii="Times New Roman" w:hAnsi="Times New Roman"/>
          <w:sz w:val="24"/>
          <w:szCs w:val="24"/>
        </w:rPr>
        <w:t>со стратешката процена</w:t>
      </w:r>
      <w:r>
        <w:rPr>
          <w:rFonts w:ascii="Times New Roman" w:hAnsi="Times New Roman"/>
          <w:sz w:val="24"/>
          <w:szCs w:val="24"/>
        </w:rPr>
        <w:t xml:space="preserve"> на потребите за обука на ЕУ, ЦЕПОЛ, Агенцијата на ЕУ за обука за спроведување на законот подготви 27 специјализирани/резидентни курсеви за обука на кои присуствувале 150 претставници од Министерството за внатрешни работи во 2022 година.</w:t>
      </w:r>
      <w:r>
        <w:rPr>
          <w:rFonts w:ascii="Times New Roman" w:hAnsi="Times New Roman"/>
          <w:color w:val="000000"/>
          <w:sz w:val="24"/>
          <w:szCs w:val="24"/>
        </w:rPr>
        <w:t xml:space="preserve"> Полициските службеници, исто така, учествувале во обуката на програмата за размена организирана од ЦЕПОЛ. Се препорачува органите на Северна Македонија, со помош на ЦЕПОЛ, да испланираат, подготват и организираат насочени обуки за да одговорат на приоритетните теми за обука на национално ниво по следниов редослед: борба против тероризмот: превенција; борба против тероризмот: заштита; борба против тероризмот: реакција; недозволена трговија со огнено оружје; и кривични дела против животната средина.</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Од 2014 година во Бирото за јавна безбедност при Министерството за внатрешни работи се спроведува модел на </w:t>
      </w:r>
      <w:r>
        <w:rPr>
          <w:rFonts w:ascii="Times New Roman" w:hAnsi="Times New Roman"/>
          <w:b/>
          <w:bCs/>
          <w:color w:val="000000"/>
          <w:sz w:val="24"/>
          <w:szCs w:val="24"/>
        </w:rPr>
        <w:t xml:space="preserve">полициско </w:t>
      </w:r>
      <w:r w:rsidRPr="00A40CCA">
        <w:rPr>
          <w:rFonts w:ascii="Times New Roman" w:hAnsi="Times New Roman"/>
          <w:b/>
          <w:bCs/>
          <w:color w:val="000000"/>
          <w:sz w:val="24"/>
          <w:szCs w:val="24"/>
        </w:rPr>
        <w:t xml:space="preserve">работење </w:t>
      </w:r>
      <w:r>
        <w:rPr>
          <w:rFonts w:ascii="Times New Roman" w:hAnsi="Times New Roman"/>
          <w:b/>
          <w:bCs/>
          <w:color w:val="000000"/>
          <w:sz w:val="24"/>
          <w:szCs w:val="24"/>
        </w:rPr>
        <w:t>базирано врз разузнавање</w:t>
      </w:r>
      <w:r>
        <w:rPr>
          <w:rFonts w:ascii="Times New Roman" w:hAnsi="Times New Roman"/>
          <w:color w:val="000000"/>
          <w:sz w:val="24"/>
          <w:szCs w:val="24"/>
        </w:rPr>
        <w:t xml:space="preserve">. Сега Министерството може да ги детектира моментните потреби и да </w:t>
      </w:r>
      <w:r w:rsidRPr="00A40CCA">
        <w:rPr>
          <w:rFonts w:ascii="Times New Roman" w:hAnsi="Times New Roman"/>
          <w:color w:val="000000"/>
          <w:sz w:val="24"/>
          <w:szCs w:val="24"/>
        </w:rPr>
        <w:t>утврди стратешки</w:t>
      </w:r>
      <w:r>
        <w:rPr>
          <w:rFonts w:ascii="Times New Roman" w:hAnsi="Times New Roman"/>
          <w:color w:val="000000"/>
          <w:sz w:val="24"/>
          <w:szCs w:val="24"/>
        </w:rPr>
        <w:t xml:space="preserve"> приоритети и активности за секоја година, за поголема ефикасност во борбата против организиран и сериозен криминал.</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Управата за финансиско разузнавање спровела четири финансиски истраги против 44 лица и четири субјекти во 2022 година. Вкупно девет полициски службеници се распоредени во Управата. Сè уште постои потреба од дополнителна техничка опрема и друг материјал. Обезбеден е пристап до неколку бази на податоци и се водат преговори за да се обезбеди пристап до базата на податоци на катастарскиот (имотниот) регистар.</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Управата за финансиска полиција (УФП) моментно има пет работни места за истражители, а четири сè уште не се пополнети. Во јули 2022 година донесена е стандардна оперативна постапка за спроведување финансиски истраги. Во 2022 година </w:t>
      </w:r>
      <w:r w:rsidR="004F7404">
        <w:rPr>
          <w:rFonts w:ascii="Times New Roman" w:hAnsi="Times New Roman"/>
          <w:color w:val="000000"/>
          <w:sz w:val="24"/>
          <w:szCs w:val="24"/>
        </w:rPr>
        <w:t>б</w:t>
      </w:r>
      <w:r>
        <w:rPr>
          <w:rFonts w:ascii="Times New Roman" w:hAnsi="Times New Roman"/>
          <w:color w:val="000000"/>
          <w:sz w:val="24"/>
          <w:szCs w:val="24"/>
        </w:rPr>
        <w:t>еа спроведени 25 финансиски истраги. УФП има пристап до неколку бази на податоци на други институции. Во тек е подготовка на дополнителна база на податоци што ја поврзува базата на податоци на УФП со базите на податоци на Царинската управа, Управата за јавни приходи и Министерството за внатрешни работи.</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Секторот за контрола и истраги во рамките на Царинската управа покренал вкупно 14 финансиски истраги против 22 лица и девет правни лица во 2022 година. Сите осум достапни работни места за извршители во службата се пополнети. Царинската управа донела постапка за финансиски истраги во јули 2022 година. </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Во мај 2023 година Комитетот на експерти за евалуација на мерките за спречување на перењето пари при Советот на Европа (</w:t>
      </w:r>
      <w:r w:rsidRPr="00AB030A">
        <w:rPr>
          <w:rFonts w:ascii="Times New Roman" w:hAnsi="Times New Roman"/>
          <w:color w:val="000000"/>
          <w:sz w:val="24"/>
          <w:szCs w:val="24"/>
        </w:rPr>
        <w:t>MONEYVAL</w:t>
      </w:r>
      <w:r>
        <w:rPr>
          <w:rFonts w:ascii="Times New Roman" w:hAnsi="Times New Roman"/>
          <w:color w:val="000000"/>
          <w:sz w:val="24"/>
          <w:szCs w:val="24"/>
        </w:rPr>
        <w:t>) дискутираше и го одобри извештајот за техничката усогласеност на земјата и ефективното спроведување на меѓународните стандарди за спречување на перењето пари и борба против финансирање на тероризам (</w:t>
      </w:r>
      <w:r w:rsidRPr="001920E1">
        <w:rPr>
          <w:rFonts w:ascii="Times New Roman" w:hAnsi="Times New Roman"/>
          <w:color w:val="000000"/>
          <w:sz w:val="24"/>
          <w:szCs w:val="24"/>
          <w:lang w:val="en-GB"/>
        </w:rPr>
        <w:t>AML</w:t>
      </w:r>
      <w:r w:rsidRPr="00BF7D21">
        <w:rPr>
          <w:rFonts w:ascii="Times New Roman" w:hAnsi="Times New Roman"/>
          <w:color w:val="000000"/>
          <w:sz w:val="24"/>
          <w:szCs w:val="24"/>
          <w:lang w:val="ru-RU"/>
        </w:rPr>
        <w:t>/</w:t>
      </w:r>
      <w:r w:rsidRPr="001920E1">
        <w:rPr>
          <w:rFonts w:ascii="Times New Roman" w:hAnsi="Times New Roman"/>
          <w:color w:val="000000"/>
          <w:sz w:val="24"/>
          <w:szCs w:val="24"/>
          <w:lang w:val="en-GB"/>
        </w:rPr>
        <w:t>CFT</w:t>
      </w:r>
      <w:r>
        <w:rPr>
          <w:rFonts w:ascii="Times New Roman" w:hAnsi="Times New Roman"/>
          <w:color w:val="000000"/>
          <w:sz w:val="24"/>
          <w:szCs w:val="24"/>
        </w:rPr>
        <w:t>) во согласност со методологијата на Работната група за финансиска акција (</w:t>
      </w:r>
      <w:r>
        <w:rPr>
          <w:rFonts w:ascii="Times New Roman" w:hAnsi="Times New Roman"/>
          <w:color w:val="000000"/>
          <w:sz w:val="24"/>
          <w:szCs w:val="24"/>
          <w:lang w:val="en-GB"/>
        </w:rPr>
        <w:t>FATF</w:t>
      </w:r>
      <w:r>
        <w:rPr>
          <w:rFonts w:ascii="Times New Roman" w:hAnsi="Times New Roman"/>
          <w:color w:val="000000"/>
          <w:sz w:val="24"/>
          <w:szCs w:val="24"/>
        </w:rPr>
        <w:t>).</w:t>
      </w:r>
      <w:r w:rsidRPr="00BF7D21">
        <w:rPr>
          <w:rFonts w:ascii="Times New Roman" w:hAnsi="Times New Roman"/>
          <w:color w:val="000000"/>
          <w:sz w:val="24"/>
          <w:szCs w:val="24"/>
          <w:lang w:val="ru-RU"/>
        </w:rPr>
        <w:t xml:space="preserve"> </w:t>
      </w:r>
      <w:r>
        <w:rPr>
          <w:rFonts w:ascii="Times New Roman" w:hAnsi="Times New Roman"/>
          <w:color w:val="000000"/>
          <w:sz w:val="24"/>
          <w:szCs w:val="24"/>
        </w:rPr>
        <w:t xml:space="preserve">Според заклучоците наведени во извештајот за евалуација објавен во јули 2023 година, законската рамка е подобрена, но </w:t>
      </w:r>
      <w:r w:rsidR="006143CA">
        <w:rPr>
          <w:rFonts w:ascii="Times New Roman" w:hAnsi="Times New Roman"/>
          <w:color w:val="000000"/>
          <w:sz w:val="24"/>
          <w:szCs w:val="24"/>
        </w:rPr>
        <w:t xml:space="preserve">органите </w:t>
      </w:r>
      <w:r>
        <w:rPr>
          <w:rFonts w:ascii="Times New Roman" w:hAnsi="Times New Roman"/>
          <w:color w:val="000000"/>
          <w:sz w:val="24"/>
          <w:szCs w:val="24"/>
        </w:rPr>
        <w:t>треба дополнително да ги зајакнат мерките за борба против перење пари, финансирање на тероризам и пролиферација, особено преку истраги и кривично гонење (</w:t>
      </w:r>
      <w:r>
        <w:rPr>
          <w:rFonts w:ascii="Times New Roman" w:hAnsi="Times New Roman"/>
          <w:i/>
          <w:iCs/>
          <w:color w:val="000000"/>
          <w:sz w:val="24"/>
          <w:szCs w:val="24"/>
        </w:rPr>
        <w:t>видете Поглавје 4</w:t>
      </w:r>
      <w:r>
        <w:rPr>
          <w:rFonts w:ascii="Times New Roman" w:hAnsi="Times New Roman"/>
          <w:color w:val="000000"/>
          <w:sz w:val="24"/>
          <w:szCs w:val="24"/>
        </w:rPr>
        <w:t>).</w:t>
      </w:r>
      <w:r w:rsidR="00AF05B3">
        <w:rPr>
          <w:rFonts w:ascii="Times New Roman" w:hAnsi="Times New Roman"/>
          <w:color w:val="000000"/>
          <w:sz w:val="24"/>
          <w:szCs w:val="24"/>
        </w:rPr>
        <w:t xml:space="preserve"> </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Законот за спречување перење пари и финансирање на тероризам стапил на сила во јули 2022 година. Законот има цел усогласување со Директивата 2018/843 на ЕУ, петтата директива за спречување на користењето на финансискиот систем за цели на перење пари и финансирање на тероризам и да постапи по ревидираните препораки на Работната група за финансиска акција. Треба да се подготват и да се донесат дополнителни закони за спроведување што произлегуваат од законот. Северна Македонија треба да го усогласи своето законодавство со Директивата 2018/1673 (ЕУ) за борба против перењето пари преку казненото право.</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2022 година </w:t>
      </w:r>
      <w:r w:rsidR="006143CA">
        <w:rPr>
          <w:rFonts w:ascii="Times New Roman" w:hAnsi="Times New Roman"/>
          <w:color w:val="000000"/>
          <w:sz w:val="24"/>
          <w:szCs w:val="24"/>
        </w:rPr>
        <w:t xml:space="preserve">органите </w:t>
      </w:r>
      <w:r>
        <w:rPr>
          <w:rFonts w:ascii="Times New Roman" w:hAnsi="Times New Roman"/>
          <w:color w:val="000000"/>
          <w:sz w:val="24"/>
          <w:szCs w:val="24"/>
        </w:rPr>
        <w:t>успеале да замрзнат средства во вредност од околу 40 милиони евра, вклучително и готовина, земја, деловни објекти, станови, акции и хартии од вредност. Конфискувани се средства во вредност од околу 28 милиони евра.</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Северна Македонија моментно ја спроведува Националната стратегија против трговија со луѓе </w:t>
      </w:r>
      <w:r w:rsidRPr="00A40CCA">
        <w:rPr>
          <w:rFonts w:ascii="Times New Roman" w:hAnsi="Times New Roman"/>
          <w:color w:val="000000"/>
          <w:sz w:val="24"/>
          <w:szCs w:val="24"/>
        </w:rPr>
        <w:t xml:space="preserve">и </w:t>
      </w:r>
      <w:r>
        <w:rPr>
          <w:rFonts w:ascii="Times New Roman" w:hAnsi="Times New Roman"/>
          <w:color w:val="000000"/>
          <w:sz w:val="24"/>
          <w:szCs w:val="24"/>
        </w:rPr>
        <w:t>и</w:t>
      </w:r>
      <w:r w:rsidRPr="00A40CCA">
        <w:rPr>
          <w:rFonts w:ascii="Times New Roman" w:hAnsi="Times New Roman"/>
          <w:color w:val="000000"/>
          <w:sz w:val="24"/>
          <w:szCs w:val="24"/>
        </w:rPr>
        <w:t>легална миграција</w:t>
      </w:r>
      <w:r>
        <w:rPr>
          <w:rFonts w:ascii="Times New Roman" w:hAnsi="Times New Roman"/>
          <w:color w:val="000000"/>
          <w:sz w:val="24"/>
          <w:szCs w:val="24"/>
        </w:rPr>
        <w:t xml:space="preserve">. </w:t>
      </w:r>
      <w:r>
        <w:rPr>
          <w:rFonts w:ascii="Times New Roman" w:hAnsi="Times New Roman"/>
          <w:sz w:val="24"/>
          <w:szCs w:val="24"/>
        </w:rPr>
        <w:t>Стратегијата е придружувана од Акциски план и Н</w:t>
      </w:r>
      <w:r w:rsidRPr="00A40CCA">
        <w:rPr>
          <w:rFonts w:ascii="Times New Roman" w:hAnsi="Times New Roman"/>
          <w:sz w:val="24"/>
          <w:szCs w:val="24"/>
        </w:rPr>
        <w:t>ацион</w:t>
      </w:r>
      <w:r>
        <w:rPr>
          <w:rFonts w:ascii="Times New Roman" w:hAnsi="Times New Roman"/>
          <w:sz w:val="24"/>
          <w:szCs w:val="24"/>
        </w:rPr>
        <w:t>ална стратегија за борба против трговија со деца – двата документа го опфаќаат периодот 2021-2025 година.</w:t>
      </w:r>
      <w:r>
        <w:rPr>
          <w:rFonts w:ascii="Times New Roman" w:hAnsi="Times New Roman"/>
          <w:color w:val="000000"/>
          <w:sz w:val="24"/>
          <w:szCs w:val="24"/>
        </w:rPr>
        <w:t xml:space="preserve"> Групата експерти за акција против трговија со луѓе го објави третиот извештај за оценување за Северна Македонија. Дадени се препораки до </w:t>
      </w:r>
      <w:r w:rsidR="00625C84">
        <w:rPr>
          <w:rFonts w:ascii="Times New Roman" w:hAnsi="Times New Roman"/>
          <w:color w:val="000000"/>
          <w:sz w:val="24"/>
          <w:szCs w:val="24"/>
        </w:rPr>
        <w:t>органите</w:t>
      </w:r>
      <w:r>
        <w:rPr>
          <w:rFonts w:ascii="Times New Roman" w:hAnsi="Times New Roman"/>
          <w:color w:val="000000"/>
          <w:sz w:val="24"/>
          <w:szCs w:val="24"/>
        </w:rPr>
        <w:t xml:space="preserve"> да се осврнат на пропустите и слабостите во законската рамка и во други области. За дополнително усогласување </w:t>
      </w:r>
      <w:r w:rsidRPr="00AC6FE1">
        <w:rPr>
          <w:rFonts w:ascii="Times New Roman" w:hAnsi="Times New Roman"/>
          <w:color w:val="000000"/>
          <w:sz w:val="24"/>
          <w:szCs w:val="24"/>
        </w:rPr>
        <w:t>со правото</w:t>
      </w:r>
      <w:r>
        <w:rPr>
          <w:rFonts w:ascii="Times New Roman" w:hAnsi="Times New Roman"/>
          <w:color w:val="000000"/>
          <w:sz w:val="24"/>
          <w:szCs w:val="24"/>
        </w:rPr>
        <w:t xml:space="preserve"> на ЕУ треба да се донесат измени во законската рамка, вклучително и во врска со упатувањето на странци жртви на трговија со луѓе и кои соработуваат со органите во Центарот за жртви на трговија со луѓе. Треба да се обезбедат соодветни начини за надоместок на жртвите.</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2022 година </w:t>
      </w:r>
      <w:r w:rsidR="004F7404">
        <w:rPr>
          <w:rFonts w:ascii="Times New Roman" w:hAnsi="Times New Roman"/>
          <w:color w:val="000000"/>
          <w:sz w:val="24"/>
          <w:szCs w:val="24"/>
        </w:rPr>
        <w:t xml:space="preserve">беа </w:t>
      </w:r>
      <w:r>
        <w:rPr>
          <w:rFonts w:ascii="Times New Roman" w:hAnsi="Times New Roman"/>
          <w:color w:val="000000"/>
          <w:sz w:val="24"/>
          <w:szCs w:val="24"/>
        </w:rPr>
        <w:t xml:space="preserve">идентификувани девет жртви како дел од истрагите и обвиненијата за вршителите на трговија со луѓе. Од нив, осум биле жртви на трговија со луѓе во државата, а едно лице било експлоатирано во странство (во соседна држава). Како резултат на истрагите </w:t>
      </w:r>
      <w:r w:rsidR="004F7404">
        <w:rPr>
          <w:rFonts w:ascii="Times New Roman" w:hAnsi="Times New Roman"/>
          <w:color w:val="000000"/>
          <w:sz w:val="24"/>
          <w:szCs w:val="24"/>
        </w:rPr>
        <w:t xml:space="preserve">беа </w:t>
      </w:r>
      <w:r>
        <w:rPr>
          <w:rFonts w:ascii="Times New Roman" w:hAnsi="Times New Roman"/>
          <w:color w:val="000000"/>
          <w:sz w:val="24"/>
          <w:szCs w:val="24"/>
        </w:rPr>
        <w:t>поднесени шест кривични обвиненија против 19 лица за кривични дела поврзани со наводна трговија со луѓе.</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2022 година Министерството за внатрешни работи поднело обвиненија против 210 лица, обвинети дека извршиле 199 кривични дела поврзани со </w:t>
      </w:r>
      <w:r>
        <w:rPr>
          <w:rFonts w:ascii="Times New Roman" w:hAnsi="Times New Roman"/>
          <w:b/>
          <w:bCs/>
          <w:color w:val="000000"/>
          <w:sz w:val="24"/>
          <w:szCs w:val="24"/>
        </w:rPr>
        <w:t>мало и лесно оружје</w:t>
      </w:r>
      <w:r>
        <w:rPr>
          <w:rFonts w:ascii="Times New Roman" w:hAnsi="Times New Roman"/>
          <w:color w:val="000000"/>
          <w:sz w:val="24"/>
          <w:szCs w:val="24"/>
        </w:rPr>
        <w:t xml:space="preserve">. Дополнително, во 2022 година </w:t>
      </w:r>
      <w:r w:rsidR="004F7404">
        <w:rPr>
          <w:rFonts w:ascii="Times New Roman" w:hAnsi="Times New Roman"/>
          <w:color w:val="000000"/>
          <w:sz w:val="24"/>
          <w:szCs w:val="24"/>
        </w:rPr>
        <w:t xml:space="preserve">беа </w:t>
      </w:r>
      <w:r>
        <w:rPr>
          <w:rFonts w:ascii="Times New Roman" w:hAnsi="Times New Roman"/>
          <w:color w:val="000000"/>
          <w:sz w:val="24"/>
          <w:szCs w:val="24"/>
        </w:rPr>
        <w:t xml:space="preserve">запленети 139 парчиња оружје. Под надзор на Државната комисија за уништување оружје </w:t>
      </w:r>
      <w:r w:rsidR="004F7404">
        <w:rPr>
          <w:rFonts w:ascii="Times New Roman" w:hAnsi="Times New Roman"/>
          <w:color w:val="000000"/>
          <w:sz w:val="24"/>
          <w:szCs w:val="24"/>
        </w:rPr>
        <w:t xml:space="preserve">беа </w:t>
      </w:r>
      <w:r>
        <w:rPr>
          <w:rFonts w:ascii="Times New Roman" w:hAnsi="Times New Roman"/>
          <w:color w:val="000000"/>
          <w:sz w:val="24"/>
          <w:szCs w:val="24"/>
        </w:rPr>
        <w:t xml:space="preserve">уништени 270 запленети парчиња оружје во февруари 2023 година. </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однос на </w:t>
      </w:r>
      <w:r w:rsidR="001450A9" w:rsidRPr="001450A9">
        <w:rPr>
          <w:rFonts w:ascii="Times New Roman" w:hAnsi="Times New Roman"/>
          <w:b/>
          <w:bCs/>
          <w:color w:val="000000"/>
          <w:sz w:val="24"/>
          <w:szCs w:val="24"/>
        </w:rPr>
        <w:t>сајбер</w:t>
      </w:r>
      <w:r w:rsidR="001450A9">
        <w:rPr>
          <w:rFonts w:ascii="Times New Roman" w:hAnsi="Times New Roman"/>
          <w:b/>
          <w:bCs/>
          <w:color w:val="000000"/>
          <w:sz w:val="24"/>
          <w:szCs w:val="24"/>
        </w:rPr>
        <w:t xml:space="preserve"> </w:t>
      </w:r>
      <w:r w:rsidRPr="00BF7D21">
        <w:rPr>
          <w:rFonts w:ascii="Times New Roman" w:hAnsi="Times New Roman"/>
          <w:b/>
          <w:bCs/>
          <w:color w:val="000000"/>
          <w:sz w:val="24"/>
          <w:szCs w:val="24"/>
        </w:rPr>
        <w:t>криминалот</w:t>
      </w:r>
      <w:r>
        <w:rPr>
          <w:rFonts w:ascii="Times New Roman" w:hAnsi="Times New Roman"/>
          <w:color w:val="000000"/>
          <w:sz w:val="24"/>
          <w:szCs w:val="24"/>
        </w:rPr>
        <w:t xml:space="preserve">, во 2022 година </w:t>
      </w:r>
      <w:r w:rsidR="006143CA">
        <w:rPr>
          <w:rFonts w:ascii="Times New Roman" w:hAnsi="Times New Roman"/>
          <w:color w:val="000000"/>
          <w:sz w:val="24"/>
          <w:szCs w:val="24"/>
        </w:rPr>
        <w:t xml:space="preserve">органите </w:t>
      </w:r>
      <w:r>
        <w:rPr>
          <w:rFonts w:ascii="Times New Roman" w:hAnsi="Times New Roman"/>
          <w:color w:val="000000"/>
          <w:sz w:val="24"/>
          <w:szCs w:val="24"/>
        </w:rPr>
        <w:t>регистрирале 287 кривични дела што претставуваат компјутерски криминал според Кривичниот законик, извршени од страна на 220 сторители. Најчести компјутерски кривични дела се: „оштетување и неовластено навлегување во компјутерски систем“, „ширење на ксенофобичен материјал по пат на компјутерски систем“, „изработка и употреба на лажна платежна картичка</w:t>
      </w:r>
      <w:r w:rsidRPr="00A40CCA">
        <w:rPr>
          <w:rFonts w:ascii="Times New Roman" w:hAnsi="Times New Roman"/>
          <w:color w:val="000000"/>
          <w:sz w:val="24"/>
          <w:szCs w:val="24"/>
        </w:rPr>
        <w:t>“</w:t>
      </w:r>
      <w:r>
        <w:rPr>
          <w:rFonts w:ascii="Times New Roman" w:hAnsi="Times New Roman"/>
          <w:color w:val="000000"/>
          <w:sz w:val="24"/>
          <w:szCs w:val="24"/>
        </w:rPr>
        <w:t xml:space="preserve"> и „загрозување на безбедноста“.</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однос на сексуална експлоатација на деца преку интернет, во 2022 година </w:t>
      </w:r>
      <w:r w:rsidR="004F7404">
        <w:rPr>
          <w:rFonts w:ascii="Times New Roman" w:hAnsi="Times New Roman"/>
          <w:color w:val="000000"/>
          <w:sz w:val="24"/>
          <w:szCs w:val="24"/>
        </w:rPr>
        <w:t xml:space="preserve">беа </w:t>
      </w:r>
      <w:r>
        <w:rPr>
          <w:rFonts w:ascii="Times New Roman" w:hAnsi="Times New Roman"/>
          <w:color w:val="000000"/>
          <w:sz w:val="24"/>
          <w:szCs w:val="24"/>
        </w:rPr>
        <w:t xml:space="preserve">регистрирани 14 кривични дела. Од пријавените кривични дела, осум </w:t>
      </w:r>
      <w:r w:rsidRPr="00A40CCA">
        <w:rPr>
          <w:rFonts w:ascii="Times New Roman" w:hAnsi="Times New Roman"/>
          <w:color w:val="000000"/>
          <w:sz w:val="24"/>
          <w:szCs w:val="24"/>
        </w:rPr>
        <w:t>биле р</w:t>
      </w:r>
      <w:r>
        <w:rPr>
          <w:rFonts w:ascii="Times New Roman" w:hAnsi="Times New Roman"/>
          <w:color w:val="000000"/>
          <w:sz w:val="24"/>
          <w:szCs w:val="24"/>
        </w:rPr>
        <w:t xml:space="preserve">ешени и </w:t>
      </w:r>
      <w:r w:rsidR="004F7404">
        <w:rPr>
          <w:rFonts w:ascii="Times New Roman" w:hAnsi="Times New Roman"/>
          <w:color w:val="000000"/>
          <w:sz w:val="24"/>
          <w:szCs w:val="24"/>
        </w:rPr>
        <w:t xml:space="preserve">беа </w:t>
      </w:r>
      <w:r>
        <w:rPr>
          <w:rFonts w:ascii="Times New Roman" w:hAnsi="Times New Roman"/>
          <w:color w:val="000000"/>
          <w:sz w:val="24"/>
          <w:szCs w:val="24"/>
        </w:rPr>
        <w:t xml:space="preserve">идентификувани осум сторители. Останатите случаи сè уште се под истрага. Во 2022 година </w:t>
      </w:r>
      <w:r w:rsidR="004F7404">
        <w:rPr>
          <w:rFonts w:ascii="Times New Roman" w:hAnsi="Times New Roman"/>
          <w:color w:val="000000"/>
          <w:sz w:val="24"/>
          <w:szCs w:val="24"/>
        </w:rPr>
        <w:t>беа</w:t>
      </w:r>
      <w:r>
        <w:rPr>
          <w:rFonts w:ascii="Times New Roman" w:hAnsi="Times New Roman"/>
          <w:color w:val="000000"/>
          <w:sz w:val="24"/>
          <w:szCs w:val="24"/>
        </w:rPr>
        <w:t xml:space="preserve"> пријавени седум случаи на </w:t>
      </w:r>
      <w:r w:rsidR="001450A9" w:rsidRPr="001450A9">
        <w:rPr>
          <w:rFonts w:ascii="Times New Roman" w:hAnsi="Times New Roman"/>
          <w:color w:val="000000"/>
          <w:sz w:val="24"/>
          <w:szCs w:val="24"/>
        </w:rPr>
        <w:t>сајбер</w:t>
      </w:r>
      <w:r w:rsidR="001450A9">
        <w:rPr>
          <w:rFonts w:ascii="Times New Roman" w:hAnsi="Times New Roman"/>
          <w:color w:val="000000"/>
          <w:sz w:val="24"/>
          <w:szCs w:val="24"/>
        </w:rPr>
        <w:t xml:space="preserve"> </w:t>
      </w:r>
      <w:r>
        <w:rPr>
          <w:rFonts w:ascii="Times New Roman" w:hAnsi="Times New Roman"/>
          <w:color w:val="000000"/>
          <w:sz w:val="24"/>
          <w:szCs w:val="24"/>
        </w:rPr>
        <w:t>напади против јавни институции и јавна инфраструктура и 11 против приватни институции. Секторот за компјутерски криминал и дигитална форензика при Министерството за внатрешни работи активно учествуваше во ЕМПАКТ.</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Централниот регистар води регистар на вистински сопственици од јануари 2021 година, но сите субјекти од кои се бара тоа не ја поднеле потребната документација. </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согласност со Законот за платежни услуги и платни </w:t>
      </w:r>
      <w:r w:rsidRPr="00A40CCA">
        <w:rPr>
          <w:rFonts w:ascii="Times New Roman" w:hAnsi="Times New Roman"/>
          <w:color w:val="000000"/>
          <w:sz w:val="24"/>
          <w:szCs w:val="24"/>
        </w:rPr>
        <w:t>системи б</w:t>
      </w:r>
      <w:r>
        <w:rPr>
          <w:rFonts w:ascii="Times New Roman" w:hAnsi="Times New Roman"/>
          <w:color w:val="000000"/>
          <w:sz w:val="24"/>
          <w:szCs w:val="24"/>
        </w:rPr>
        <w:t>ил</w:t>
      </w:r>
      <w:r w:rsidRPr="00A40CCA">
        <w:rPr>
          <w:rFonts w:ascii="Times New Roman" w:hAnsi="Times New Roman"/>
          <w:color w:val="000000"/>
          <w:sz w:val="24"/>
          <w:szCs w:val="24"/>
        </w:rPr>
        <w:t xml:space="preserve"> воведен</w:t>
      </w:r>
      <w:r>
        <w:rPr>
          <w:rFonts w:ascii="Times New Roman" w:hAnsi="Times New Roman"/>
          <w:color w:val="000000"/>
          <w:sz w:val="24"/>
          <w:szCs w:val="24"/>
        </w:rPr>
        <w:t xml:space="preserve"> единствен регистар на сметки што го води и одржува Централниот регистар. Моментно се поставува инфраструктурата за регистарот и се дефинираат техничките спецификации за софтверот и неговите главни компоненти. Се очекува регистарот да почне да функционира во второто тримесечје од 2024 година.</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извештајниот период </w:t>
      </w:r>
      <w:r w:rsidR="00534D70">
        <w:rPr>
          <w:rFonts w:ascii="Times New Roman" w:hAnsi="Times New Roman"/>
          <w:color w:val="000000"/>
          <w:sz w:val="24"/>
          <w:szCs w:val="24"/>
        </w:rPr>
        <w:t xml:space="preserve">беа </w:t>
      </w:r>
      <w:r>
        <w:rPr>
          <w:rFonts w:ascii="Times New Roman" w:hAnsi="Times New Roman"/>
          <w:color w:val="000000"/>
          <w:sz w:val="24"/>
          <w:szCs w:val="24"/>
        </w:rPr>
        <w:t>применети мерки за заштита на сведоци во четири случаи.</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b/>
          <w:bCs/>
          <w:color w:val="000000"/>
          <w:sz w:val="24"/>
          <w:szCs w:val="24"/>
        </w:rPr>
        <w:t>Соработка во областа на дрогата</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u w:val="single"/>
        </w:rPr>
        <w:t>Институционална поставеност и правно усогласување</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Националната </w:t>
      </w:r>
      <w:r w:rsidRPr="00A40CCA">
        <w:rPr>
          <w:rFonts w:ascii="Times New Roman" w:hAnsi="Times New Roman"/>
          <w:color w:val="000000"/>
          <w:sz w:val="24"/>
          <w:szCs w:val="24"/>
        </w:rPr>
        <w:t xml:space="preserve">стратегија </w:t>
      </w:r>
      <w:r>
        <w:rPr>
          <w:rFonts w:ascii="Times New Roman" w:hAnsi="Times New Roman"/>
          <w:color w:val="000000"/>
          <w:sz w:val="24"/>
          <w:szCs w:val="24"/>
        </w:rPr>
        <w:t>за</w:t>
      </w:r>
      <w:r w:rsidRPr="00A40CCA">
        <w:rPr>
          <w:rFonts w:ascii="Times New Roman" w:hAnsi="Times New Roman"/>
          <w:color w:val="000000"/>
          <w:sz w:val="24"/>
          <w:szCs w:val="24"/>
        </w:rPr>
        <w:t xml:space="preserve"> дрога го</w:t>
      </w:r>
      <w:r>
        <w:rPr>
          <w:rFonts w:ascii="Times New Roman" w:hAnsi="Times New Roman"/>
          <w:color w:val="000000"/>
          <w:sz w:val="24"/>
          <w:szCs w:val="24"/>
        </w:rPr>
        <w:t xml:space="preserve"> опфаќа периодот 2021 - 2025 година и се спроведува преку посебен акциски план. Националната опсерваторија за дроги постои од 2007 година, но нејзиниот оперативен капацитет сè уште е ограничен. Опсерваторијата има недостиг од ресурси за да се справи со секојдневните задачи за </w:t>
      </w:r>
      <w:r w:rsidRPr="00A40CCA">
        <w:rPr>
          <w:rFonts w:ascii="Times New Roman" w:hAnsi="Times New Roman"/>
          <w:color w:val="000000"/>
          <w:sz w:val="24"/>
          <w:szCs w:val="24"/>
        </w:rPr>
        <w:t xml:space="preserve">следење </w:t>
      </w:r>
      <w:r>
        <w:rPr>
          <w:rFonts w:ascii="Times New Roman" w:hAnsi="Times New Roman"/>
          <w:color w:val="000000"/>
          <w:sz w:val="24"/>
          <w:szCs w:val="24"/>
        </w:rPr>
        <w:t xml:space="preserve">на </w:t>
      </w:r>
      <w:r w:rsidRPr="00A40CCA">
        <w:rPr>
          <w:rFonts w:ascii="Times New Roman" w:hAnsi="Times New Roman"/>
          <w:color w:val="000000"/>
          <w:sz w:val="24"/>
          <w:szCs w:val="24"/>
        </w:rPr>
        <w:t>дроги</w:t>
      </w:r>
      <w:r>
        <w:rPr>
          <w:rFonts w:ascii="Times New Roman" w:hAnsi="Times New Roman"/>
          <w:color w:val="000000"/>
          <w:sz w:val="24"/>
          <w:szCs w:val="24"/>
        </w:rPr>
        <w:t>те</w:t>
      </w:r>
      <w:r w:rsidRPr="00A40CCA">
        <w:rPr>
          <w:rFonts w:ascii="Times New Roman" w:hAnsi="Times New Roman"/>
          <w:color w:val="000000"/>
          <w:sz w:val="24"/>
          <w:szCs w:val="24"/>
        </w:rPr>
        <w:t xml:space="preserve">. </w:t>
      </w:r>
      <w:bookmarkStart w:id="26" w:name="_Hlk150618022"/>
      <w:r w:rsidRPr="00A40CCA">
        <w:rPr>
          <w:rFonts w:ascii="Times New Roman" w:hAnsi="Times New Roman"/>
          <w:color w:val="000000"/>
          <w:sz w:val="24"/>
          <w:szCs w:val="24"/>
        </w:rPr>
        <w:t>Сè уште</w:t>
      </w:r>
      <w:bookmarkEnd w:id="26"/>
      <w:r>
        <w:rPr>
          <w:rFonts w:ascii="Times New Roman" w:hAnsi="Times New Roman"/>
          <w:color w:val="000000"/>
          <w:sz w:val="24"/>
          <w:szCs w:val="24"/>
        </w:rPr>
        <w:t xml:space="preserve"> не постои национален систем за рано предупредување што може да се поврзе со релевантните национални тела за да се овозможи брза размена на податоци за нелегалното производство и недозволената трговија на национално и меѓународно ниво.</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Европскиот центар за следење на дрогите и зависностите од дроги има воспоставени договори за техничка соработка со Северна Македонија уште од 2007 година.</w:t>
      </w:r>
      <w:r w:rsidR="00AF05B3">
        <w:rPr>
          <w:rFonts w:ascii="Times New Roman" w:hAnsi="Times New Roman"/>
          <w:color w:val="000000"/>
          <w:sz w:val="24"/>
          <w:szCs w:val="24"/>
        </w:rPr>
        <w:t xml:space="preserve"> </w:t>
      </w:r>
      <w:r>
        <w:rPr>
          <w:rFonts w:ascii="Times New Roman" w:hAnsi="Times New Roman"/>
          <w:color w:val="000000"/>
          <w:sz w:val="24"/>
          <w:szCs w:val="24"/>
        </w:rPr>
        <w:t>Централна точка за оваа соработка е Министерството за здравство, кое соработува и со Меѓународниот одбор за контрола на наркотици и Канцеларијата на Обединетите нации за дрога и криминал.</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Националното законодавство за дрога, психотропни супстанции и прекурзори сè уште не е усогласено </w:t>
      </w:r>
      <w:r w:rsidRPr="00A40CCA">
        <w:rPr>
          <w:rFonts w:ascii="Times New Roman" w:hAnsi="Times New Roman"/>
          <w:color w:val="000000"/>
          <w:sz w:val="24"/>
          <w:szCs w:val="24"/>
        </w:rPr>
        <w:t>со правото на ЕУ или</w:t>
      </w:r>
      <w:r>
        <w:rPr>
          <w:rFonts w:ascii="Times New Roman" w:hAnsi="Times New Roman"/>
          <w:color w:val="000000"/>
          <w:sz w:val="24"/>
          <w:szCs w:val="24"/>
        </w:rPr>
        <w:t xml:space="preserve"> меѓународните стандарди.</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u w:val="single"/>
        </w:rPr>
        <w:t>Капацитет за спроведување и извршување</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Беше забележано значително подобрување во спречувањето на незаконската трговија со дрога. Во 2022 година </w:t>
      </w:r>
      <w:r w:rsidR="00534D70">
        <w:rPr>
          <w:rFonts w:ascii="Times New Roman" w:hAnsi="Times New Roman"/>
          <w:color w:val="000000"/>
          <w:sz w:val="24"/>
          <w:szCs w:val="24"/>
        </w:rPr>
        <w:t>беа</w:t>
      </w:r>
      <w:r>
        <w:rPr>
          <w:rFonts w:ascii="Times New Roman" w:hAnsi="Times New Roman"/>
          <w:color w:val="000000"/>
          <w:sz w:val="24"/>
          <w:szCs w:val="24"/>
        </w:rPr>
        <w:t xml:space="preserve"> регистрирани вкупно 749 кривични дела (во споредба со 701 во 2021 година), кои резултирале со кривични обвиненија против девет правни лица и 853 сторители (840 во 2021 година</w:t>
      </w:r>
      <w:r w:rsidRPr="00A40CCA">
        <w:rPr>
          <w:rFonts w:ascii="Times New Roman" w:hAnsi="Times New Roman"/>
          <w:color w:val="000000"/>
          <w:sz w:val="24"/>
          <w:szCs w:val="24"/>
        </w:rPr>
        <w:t xml:space="preserve">). </w:t>
      </w:r>
      <w:r>
        <w:rPr>
          <w:rFonts w:ascii="Times New Roman" w:hAnsi="Times New Roman"/>
          <w:color w:val="000000"/>
          <w:sz w:val="24"/>
          <w:szCs w:val="24"/>
        </w:rPr>
        <w:t>Со п</w:t>
      </w:r>
      <w:r w:rsidRPr="00A40CCA">
        <w:rPr>
          <w:rFonts w:ascii="Times New Roman" w:hAnsi="Times New Roman"/>
          <w:color w:val="000000"/>
          <w:sz w:val="24"/>
          <w:szCs w:val="24"/>
        </w:rPr>
        <w:t xml:space="preserve">олициски акции </w:t>
      </w:r>
      <w:r w:rsidR="00534D70">
        <w:rPr>
          <w:rFonts w:ascii="Times New Roman" w:hAnsi="Times New Roman"/>
          <w:color w:val="000000"/>
          <w:sz w:val="24"/>
          <w:szCs w:val="24"/>
        </w:rPr>
        <w:t>беа</w:t>
      </w:r>
      <w:r>
        <w:rPr>
          <w:rFonts w:ascii="Times New Roman" w:hAnsi="Times New Roman"/>
          <w:color w:val="000000"/>
          <w:sz w:val="24"/>
          <w:szCs w:val="24"/>
        </w:rPr>
        <w:t xml:space="preserve"> </w:t>
      </w:r>
      <w:r w:rsidRPr="00A40CCA">
        <w:rPr>
          <w:rFonts w:ascii="Times New Roman" w:hAnsi="Times New Roman"/>
          <w:color w:val="000000"/>
          <w:sz w:val="24"/>
          <w:szCs w:val="24"/>
        </w:rPr>
        <w:t>разби</w:t>
      </w:r>
      <w:r>
        <w:rPr>
          <w:rFonts w:ascii="Times New Roman" w:hAnsi="Times New Roman"/>
          <w:color w:val="000000"/>
          <w:sz w:val="24"/>
          <w:szCs w:val="24"/>
        </w:rPr>
        <w:t>ени</w:t>
      </w:r>
      <w:r w:rsidRPr="00A40CCA">
        <w:rPr>
          <w:rFonts w:ascii="Times New Roman" w:hAnsi="Times New Roman"/>
          <w:color w:val="000000"/>
          <w:sz w:val="24"/>
          <w:szCs w:val="24"/>
        </w:rPr>
        <w:t xml:space="preserve"> 12 организирани</w:t>
      </w:r>
      <w:r>
        <w:rPr>
          <w:rFonts w:ascii="Times New Roman" w:hAnsi="Times New Roman"/>
          <w:color w:val="000000"/>
          <w:sz w:val="24"/>
          <w:szCs w:val="24"/>
        </w:rPr>
        <w:t xml:space="preserve"> групи (10 во 2021 година) со 46 члена (36 во 2021 година).</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2022 година </w:t>
      </w:r>
      <w:r w:rsidR="006143CA">
        <w:rPr>
          <w:rFonts w:ascii="Times New Roman" w:hAnsi="Times New Roman"/>
          <w:color w:val="000000"/>
          <w:sz w:val="24"/>
          <w:szCs w:val="24"/>
        </w:rPr>
        <w:t xml:space="preserve">органите </w:t>
      </w:r>
      <w:r>
        <w:rPr>
          <w:rFonts w:ascii="Times New Roman" w:hAnsi="Times New Roman"/>
          <w:color w:val="000000"/>
          <w:sz w:val="24"/>
          <w:szCs w:val="24"/>
        </w:rPr>
        <w:t xml:space="preserve">заплениле 2.561 kg марихуана и 8.723 kg стебла канабис (18.301 kg вкупно во 2021 година) од правни субјекти со дозволи за одгледување канабис за медицински цели, што предизвикува загриженост во врска со недостатоците во системот за легално одгледување. Органите за спроведување на законот треба да спроведат построга контрола врз тие субјекти и нивните активности, да ја спречат нелегалната активност и да </w:t>
      </w:r>
      <w:r>
        <w:rPr>
          <w:rFonts w:ascii="Times New Roman" w:hAnsi="Times New Roman"/>
          <w:color w:val="000000"/>
          <w:sz w:val="24"/>
          <w:szCs w:val="24"/>
          <w:u w:val="single"/>
        </w:rPr>
        <w:t>преземат ефективни мерки против прекршоци</w:t>
      </w:r>
      <w:r>
        <w:rPr>
          <w:rFonts w:ascii="Times New Roman" w:hAnsi="Times New Roman"/>
          <w:color w:val="000000"/>
          <w:sz w:val="24"/>
          <w:szCs w:val="24"/>
        </w:rPr>
        <w:t>.</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Во врска со меѓународната полициска соработка, во текот на 2022 година Министерството за внатрешни работи примило 62 информации во врска со нелегална трговија со дрога преку Интерпол од земји членки на ЕУ и држави што се надвор од ЕУ. Релевантните полициски структури одржувале добро ниво на соработка и со Европол, при што била разменета 481 порака поврзана со „нелегална трговија со дрога“ преку М</w:t>
      </w:r>
      <w:r w:rsidRPr="00A40CCA">
        <w:rPr>
          <w:rFonts w:ascii="Times New Roman" w:hAnsi="Times New Roman"/>
          <w:color w:val="000000"/>
          <w:sz w:val="24"/>
          <w:szCs w:val="24"/>
        </w:rPr>
        <w:t>реж</w:t>
      </w:r>
      <w:r>
        <w:rPr>
          <w:rFonts w:ascii="Times New Roman" w:hAnsi="Times New Roman"/>
          <w:color w:val="000000"/>
          <w:sz w:val="24"/>
          <w:szCs w:val="24"/>
        </w:rPr>
        <w:t>ата за безбедна размена на информации (СИЕНА) во 2022 година.</w:t>
      </w:r>
      <w:r w:rsidR="00AF05B3">
        <w:rPr>
          <w:rFonts w:ascii="Times New Roman" w:hAnsi="Times New Roman"/>
          <w:color w:val="000000"/>
          <w:sz w:val="24"/>
          <w:szCs w:val="24"/>
        </w:rPr>
        <w:t xml:space="preserve"> </w:t>
      </w:r>
      <w:r>
        <w:rPr>
          <w:rFonts w:ascii="Times New Roman" w:hAnsi="Times New Roman"/>
          <w:color w:val="000000"/>
          <w:sz w:val="24"/>
          <w:szCs w:val="24"/>
        </w:rPr>
        <w:t xml:space="preserve">Дополнително, биле отворени 18 случаи на нелегална трговија со дрога како резултат на размена на информации преку СЕЛЕК. </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Локалните граѓански организации спроведуваат активности за намалување на штетите, што претставува еден од главните столбови на националната политика за дроги, преку мрежата на национални фокусни точки на </w:t>
      </w:r>
      <w:r w:rsidRPr="00A40CCA">
        <w:rPr>
          <w:rFonts w:ascii="Times New Roman" w:hAnsi="Times New Roman"/>
          <w:color w:val="000000"/>
          <w:sz w:val="24"/>
          <w:szCs w:val="24"/>
        </w:rPr>
        <w:t>територијата на целата</w:t>
      </w:r>
      <w:r w:rsidRPr="00ED3633">
        <w:rPr>
          <w:rFonts w:ascii="Times New Roman" w:hAnsi="Times New Roman"/>
          <w:color w:val="000000"/>
          <w:sz w:val="24"/>
          <w:szCs w:val="24"/>
        </w:rPr>
        <w:t xml:space="preserve"> држава.</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Беа извршени подготвителни работи за регистарот на корисници на дрога од страна на Институтот за јавно здравје во соработка со Министерството за внатрешни работи. Сега е потребно да се финализира регистарот.</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Во февруари 2023 година Агенцијата за управување со одземен имот уништи 1.400 kg конфискувана дрога и нелегални психотропни супстанции откако беше донесена конечна судска одлука.</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Продолжува соработката со Европравда. Помеѓу април 2022 и февруари 2023 година Северна Македонија беше вклучена во 20 нови случаи во Европравда - 17 како земја од која се бара и три како земја барател. Најголем дел од случаите беа поврзани со перење пари или измама. Вршителот на должноста Обвинител за врски со Европравда </w:t>
      </w:r>
      <w:r w:rsidRPr="00A40CCA">
        <w:rPr>
          <w:rFonts w:ascii="Times New Roman" w:hAnsi="Times New Roman"/>
          <w:color w:val="000000"/>
          <w:sz w:val="24"/>
          <w:szCs w:val="24"/>
        </w:rPr>
        <w:t>беше активно</w:t>
      </w:r>
      <w:r>
        <w:rPr>
          <w:rFonts w:ascii="Times New Roman" w:hAnsi="Times New Roman"/>
          <w:color w:val="000000"/>
          <w:sz w:val="24"/>
          <w:szCs w:val="24"/>
        </w:rPr>
        <w:t xml:space="preserve"> вклучен во помагањето на тековните истраги.</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b/>
          <w:bCs/>
          <w:color w:val="000000"/>
          <w:sz w:val="24"/>
          <w:szCs w:val="24"/>
        </w:rPr>
        <w:t>Борба против тероризам</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u w:val="single"/>
        </w:rPr>
        <w:t>Институционална поставеност и правно усогласување</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Северна Македонија </w:t>
      </w:r>
      <w:r w:rsidRPr="00A40CCA">
        <w:rPr>
          <w:rFonts w:ascii="Times New Roman" w:hAnsi="Times New Roman"/>
          <w:color w:val="000000"/>
          <w:sz w:val="24"/>
          <w:szCs w:val="24"/>
        </w:rPr>
        <w:t xml:space="preserve">има </w:t>
      </w:r>
      <w:r>
        <w:rPr>
          <w:rFonts w:ascii="Times New Roman" w:hAnsi="Times New Roman"/>
          <w:color w:val="000000"/>
          <w:sz w:val="24"/>
          <w:szCs w:val="24"/>
        </w:rPr>
        <w:t>Н</w:t>
      </w:r>
      <w:r w:rsidRPr="00A40CCA">
        <w:rPr>
          <w:rFonts w:ascii="Times New Roman" w:hAnsi="Times New Roman"/>
          <w:color w:val="000000"/>
          <w:sz w:val="24"/>
          <w:szCs w:val="24"/>
        </w:rPr>
        <w:t>ационална</w:t>
      </w:r>
      <w:r>
        <w:rPr>
          <w:rFonts w:ascii="Times New Roman" w:hAnsi="Times New Roman"/>
          <w:color w:val="000000"/>
          <w:sz w:val="24"/>
          <w:szCs w:val="24"/>
        </w:rPr>
        <w:t xml:space="preserve"> комисија за борба против насилниот екстремизам и тероризам, но треба да се донесе нацрт-правилник за нејзината работа.</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Законодавната рамка на Северна Македонија, главно, е усогласена </w:t>
      </w:r>
      <w:r w:rsidRPr="00AC6FE1">
        <w:rPr>
          <w:rFonts w:ascii="Times New Roman" w:hAnsi="Times New Roman"/>
          <w:color w:val="000000"/>
          <w:sz w:val="24"/>
          <w:szCs w:val="24"/>
        </w:rPr>
        <w:t>со правото</w:t>
      </w:r>
      <w:r w:rsidRPr="00260054">
        <w:rPr>
          <w:rFonts w:ascii="Times New Roman" w:hAnsi="Times New Roman"/>
          <w:color w:val="000000"/>
          <w:sz w:val="24"/>
          <w:szCs w:val="24"/>
        </w:rPr>
        <w:t xml:space="preserve"> на</w:t>
      </w:r>
      <w:r>
        <w:rPr>
          <w:rFonts w:ascii="Times New Roman" w:hAnsi="Times New Roman"/>
          <w:color w:val="000000"/>
          <w:sz w:val="24"/>
          <w:szCs w:val="24"/>
        </w:rPr>
        <w:t xml:space="preserve"> ЕУ и меѓународните инструменти за борба против тероризмот и доволна е за кривично гонење на лица за кои постои сомневање дека извршиле или помагале терористички активности или учествувале во странски војни.</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sidRPr="00A40CCA">
        <w:rPr>
          <w:rFonts w:ascii="Times New Roman" w:hAnsi="Times New Roman"/>
          <w:color w:val="000000"/>
          <w:sz w:val="24"/>
          <w:szCs w:val="24"/>
        </w:rPr>
        <w:t>Националн</w:t>
      </w:r>
      <w:r>
        <w:rPr>
          <w:rFonts w:ascii="Times New Roman" w:hAnsi="Times New Roman"/>
          <w:color w:val="000000"/>
          <w:sz w:val="24"/>
          <w:szCs w:val="24"/>
        </w:rPr>
        <w:t>ата</w:t>
      </w:r>
      <w:r w:rsidRPr="00A40CCA">
        <w:rPr>
          <w:rFonts w:ascii="Times New Roman" w:hAnsi="Times New Roman"/>
          <w:color w:val="000000"/>
          <w:sz w:val="24"/>
          <w:szCs w:val="24"/>
        </w:rPr>
        <w:t xml:space="preserve"> стратеги</w:t>
      </w:r>
      <w:r>
        <w:rPr>
          <w:rFonts w:ascii="Times New Roman" w:hAnsi="Times New Roman"/>
          <w:color w:val="000000"/>
          <w:sz w:val="24"/>
          <w:szCs w:val="24"/>
        </w:rPr>
        <w:t>ја</w:t>
      </w:r>
      <w:r w:rsidRPr="00A40CCA">
        <w:rPr>
          <w:rFonts w:ascii="Times New Roman" w:hAnsi="Times New Roman"/>
          <w:color w:val="000000"/>
          <w:sz w:val="24"/>
          <w:szCs w:val="24"/>
        </w:rPr>
        <w:t xml:space="preserve"> за борба</w:t>
      </w:r>
      <w:r>
        <w:rPr>
          <w:rFonts w:ascii="Times New Roman" w:hAnsi="Times New Roman"/>
          <w:color w:val="000000"/>
          <w:sz w:val="24"/>
          <w:szCs w:val="24"/>
        </w:rPr>
        <w:t xml:space="preserve"> против тероризмот (2023 - 2027) и </w:t>
      </w:r>
      <w:r w:rsidRPr="00A40CCA">
        <w:rPr>
          <w:rFonts w:ascii="Times New Roman" w:hAnsi="Times New Roman"/>
          <w:color w:val="000000"/>
          <w:sz w:val="24"/>
          <w:szCs w:val="24"/>
        </w:rPr>
        <w:t>Националн</w:t>
      </w:r>
      <w:r>
        <w:rPr>
          <w:rFonts w:ascii="Times New Roman" w:hAnsi="Times New Roman"/>
          <w:color w:val="000000"/>
          <w:sz w:val="24"/>
          <w:szCs w:val="24"/>
        </w:rPr>
        <w:t>ата</w:t>
      </w:r>
      <w:r w:rsidRPr="00A40CCA">
        <w:rPr>
          <w:rFonts w:ascii="Times New Roman" w:hAnsi="Times New Roman"/>
          <w:color w:val="000000"/>
          <w:sz w:val="24"/>
          <w:szCs w:val="24"/>
        </w:rPr>
        <w:t xml:space="preserve"> стратеги</w:t>
      </w:r>
      <w:r>
        <w:rPr>
          <w:rFonts w:ascii="Times New Roman" w:hAnsi="Times New Roman"/>
          <w:color w:val="000000"/>
          <w:sz w:val="24"/>
          <w:szCs w:val="24"/>
        </w:rPr>
        <w:t>ја</w:t>
      </w:r>
      <w:r w:rsidRPr="00A40CCA">
        <w:rPr>
          <w:rFonts w:ascii="Times New Roman" w:hAnsi="Times New Roman"/>
          <w:color w:val="000000"/>
          <w:sz w:val="24"/>
          <w:szCs w:val="24"/>
        </w:rPr>
        <w:t xml:space="preserve"> </w:t>
      </w:r>
      <w:r>
        <w:rPr>
          <w:rFonts w:ascii="Times New Roman" w:hAnsi="Times New Roman"/>
          <w:color w:val="000000"/>
          <w:sz w:val="24"/>
          <w:szCs w:val="24"/>
        </w:rPr>
        <w:t>за спречување на насилниот екстремизам (2023 - 2027) се донесени во мај 2023 година. Тие се засновани врз четирите столба на глобалните стратегии на ОН и ЕУ: превенција, заштита, гонење/спроведување и реакција.</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Државата продолжува да го спроведува својот национален план за реинтеграција, ресоцијализација и рехабилитација на повратниците од странски војски и членовите на нивните семејства. Секојдневно се спроведуваат различни активности во работата со странски терористички борци и нивните семејства.</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декември 2022 година Европската комисија и Министерството за внатрешни работи на Северна Македонија потпишаа </w:t>
      </w:r>
      <w:r w:rsidRPr="00787C12">
        <w:rPr>
          <w:rFonts w:ascii="Times New Roman" w:hAnsi="Times New Roman"/>
          <w:color w:val="000000"/>
          <w:sz w:val="24"/>
          <w:szCs w:val="24"/>
        </w:rPr>
        <w:t xml:space="preserve">нов </w:t>
      </w:r>
      <w:r>
        <w:rPr>
          <w:rFonts w:ascii="Times New Roman" w:hAnsi="Times New Roman"/>
          <w:color w:val="000000"/>
          <w:sz w:val="24"/>
          <w:szCs w:val="24"/>
        </w:rPr>
        <w:t>Д</w:t>
      </w:r>
      <w:r w:rsidRPr="00787C12">
        <w:rPr>
          <w:rFonts w:ascii="Times New Roman" w:hAnsi="Times New Roman"/>
          <w:color w:val="000000"/>
          <w:sz w:val="24"/>
          <w:szCs w:val="24"/>
        </w:rPr>
        <w:t>оговор</w:t>
      </w:r>
      <w:r>
        <w:rPr>
          <w:rFonts w:ascii="Times New Roman" w:hAnsi="Times New Roman"/>
          <w:color w:val="000000"/>
          <w:sz w:val="24"/>
          <w:szCs w:val="24"/>
        </w:rPr>
        <w:t xml:space="preserve"> за спроведување заеднички акциски план за борба против тероризмот на Западен Балкан. Договорот ја надградува соработката во однос на борбата против тероризмот и акциите за спречување / борба против насилниот екстремизам. Тој им наложува на националните </w:t>
      </w:r>
      <w:r w:rsidR="006143CA">
        <w:rPr>
          <w:rFonts w:ascii="Times New Roman" w:hAnsi="Times New Roman"/>
          <w:color w:val="000000"/>
          <w:sz w:val="24"/>
          <w:szCs w:val="24"/>
        </w:rPr>
        <w:t xml:space="preserve">органи </w:t>
      </w:r>
      <w:r>
        <w:rPr>
          <w:rFonts w:ascii="Times New Roman" w:hAnsi="Times New Roman"/>
          <w:color w:val="000000"/>
          <w:sz w:val="24"/>
          <w:szCs w:val="24"/>
        </w:rPr>
        <w:t xml:space="preserve">да </w:t>
      </w:r>
      <w:r w:rsidRPr="00787C12">
        <w:rPr>
          <w:rFonts w:ascii="Times New Roman" w:hAnsi="Times New Roman"/>
          <w:color w:val="000000"/>
          <w:sz w:val="24"/>
          <w:szCs w:val="24"/>
        </w:rPr>
        <w:t>поднесуваат п</w:t>
      </w:r>
      <w:r>
        <w:rPr>
          <w:rFonts w:ascii="Times New Roman" w:hAnsi="Times New Roman"/>
          <w:color w:val="000000"/>
          <w:sz w:val="24"/>
          <w:szCs w:val="24"/>
        </w:rPr>
        <w:t>ериодични</w:t>
      </w:r>
      <w:r w:rsidRPr="00787C12">
        <w:rPr>
          <w:rFonts w:ascii="Times New Roman" w:hAnsi="Times New Roman"/>
          <w:color w:val="000000"/>
          <w:sz w:val="24"/>
          <w:szCs w:val="24"/>
        </w:rPr>
        <w:t xml:space="preserve"> извештаи</w:t>
      </w:r>
      <w:r>
        <w:rPr>
          <w:rFonts w:ascii="Times New Roman" w:hAnsi="Times New Roman"/>
          <w:color w:val="000000"/>
          <w:sz w:val="24"/>
          <w:szCs w:val="24"/>
        </w:rPr>
        <w:t xml:space="preserve"> двапати годишно.</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u w:val="single"/>
        </w:rPr>
        <w:t>Капацитет за спроведување и извршување</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јули 2023 година Северна Македонија го поднесе првиот извештај за напредокот во врска со извршувањето </w:t>
      </w:r>
      <w:r w:rsidRPr="00787C12">
        <w:rPr>
          <w:rFonts w:ascii="Times New Roman" w:hAnsi="Times New Roman"/>
          <w:color w:val="000000"/>
          <w:sz w:val="24"/>
          <w:szCs w:val="24"/>
        </w:rPr>
        <w:t>на билатералниот</w:t>
      </w:r>
      <w:r>
        <w:rPr>
          <w:rFonts w:ascii="Times New Roman" w:hAnsi="Times New Roman"/>
          <w:color w:val="000000"/>
          <w:sz w:val="24"/>
          <w:szCs w:val="24"/>
        </w:rPr>
        <w:t xml:space="preserve"> договор за спроведување на Заедничкиот акциски план за борба против тероризмот на Западен Балкан. Спроведувањето на новопотпишаниот договор за борба против тероризмот започна со некои приоритетни активности, преземени во согласност со распоредот.</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На локално ниво, локалните совети за превенција, акциските тимови во заедницата и локалните мултидисциплинарни тимови спроведуваат мерки за спречување насилен екстремизам и тероризам. Во ноември 2022 година </w:t>
      </w:r>
      <w:r w:rsidR="00534D70">
        <w:rPr>
          <w:rFonts w:ascii="Times New Roman" w:hAnsi="Times New Roman"/>
          <w:color w:val="000000"/>
          <w:sz w:val="24"/>
          <w:szCs w:val="24"/>
        </w:rPr>
        <w:t>беа в</w:t>
      </w:r>
      <w:r>
        <w:rPr>
          <w:rFonts w:ascii="Times New Roman" w:hAnsi="Times New Roman"/>
          <w:color w:val="000000"/>
          <w:sz w:val="24"/>
          <w:szCs w:val="24"/>
        </w:rPr>
        <w:t>оспоставени уште два локални акциски тима во Прилеп и Струга. Сега функционираат локални мултидисциплинарни тимови во девет општини - Скопје, Куманово, Гостивар, Тетово, Кичево, Охрид, Струга, Штип и Прилеп - кои обезбедуваат поддршка за повратниците и нивните семејства. Овие тимови работат во координација со локалните центри за социјални услуги. Потребна е поголема јасност околу поделбата на овластувањата, задачите и одговорностите помеѓу локално и централно ниво за подобра соработка за превенција и борба против насилниот екстремизам. Државата треба да донесе дополнителни законски одредби за легитимизирање и уредување на активностите на локалните тела.</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Практиката на одредување лесни казни за кривични дела поврзани со тероризам останува предизвик за напорите за превенција и потребно е поефикасно понатамошно постапување со осудените странски терористички борци откако ќе бидат ослободени од затвор.</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Радикализацијата во затворите и понатаму претставува загриженост и покрај тоа што </w:t>
      </w:r>
      <w:r w:rsidRPr="00787C12">
        <w:rPr>
          <w:rFonts w:ascii="Times New Roman" w:hAnsi="Times New Roman"/>
          <w:color w:val="000000"/>
          <w:sz w:val="24"/>
          <w:szCs w:val="24"/>
        </w:rPr>
        <w:t xml:space="preserve">постои </w:t>
      </w:r>
      <w:r>
        <w:rPr>
          <w:rFonts w:ascii="Times New Roman" w:hAnsi="Times New Roman"/>
          <w:color w:val="000000"/>
          <w:sz w:val="24"/>
          <w:szCs w:val="24"/>
        </w:rPr>
        <w:t>С</w:t>
      </w:r>
      <w:r w:rsidRPr="00787C12">
        <w:rPr>
          <w:rFonts w:ascii="Times New Roman" w:hAnsi="Times New Roman"/>
          <w:color w:val="000000"/>
          <w:sz w:val="24"/>
          <w:szCs w:val="24"/>
        </w:rPr>
        <w:t>тратегија</w:t>
      </w:r>
      <w:r>
        <w:rPr>
          <w:rFonts w:ascii="Times New Roman" w:hAnsi="Times New Roman"/>
          <w:color w:val="000000"/>
          <w:sz w:val="24"/>
          <w:szCs w:val="24"/>
        </w:rPr>
        <w:t xml:space="preserve"> за казнениот систем (2021 - 2025) што опфаќа мерки против радикализацијата во затворите. Потребно е ефективно постапување со онлајн радикализацијата, за што се потребни подобра опрема и обука, </w:t>
      </w:r>
      <w:r w:rsidRPr="00787C12">
        <w:rPr>
          <w:rFonts w:ascii="Times New Roman" w:hAnsi="Times New Roman"/>
          <w:color w:val="000000"/>
          <w:sz w:val="24"/>
          <w:szCs w:val="24"/>
        </w:rPr>
        <w:t xml:space="preserve">како и </w:t>
      </w:r>
      <w:r>
        <w:rPr>
          <w:rFonts w:ascii="Times New Roman" w:hAnsi="Times New Roman"/>
          <w:color w:val="000000"/>
          <w:sz w:val="24"/>
          <w:szCs w:val="24"/>
        </w:rPr>
        <w:t>за над</w:t>
      </w:r>
      <w:r w:rsidRPr="00787C12">
        <w:rPr>
          <w:rFonts w:ascii="Times New Roman" w:hAnsi="Times New Roman"/>
          <w:color w:val="000000"/>
          <w:sz w:val="24"/>
          <w:szCs w:val="24"/>
        </w:rPr>
        <w:t>град</w:t>
      </w:r>
      <w:r>
        <w:rPr>
          <w:rFonts w:ascii="Times New Roman" w:hAnsi="Times New Roman"/>
          <w:color w:val="000000"/>
          <w:sz w:val="24"/>
          <w:szCs w:val="24"/>
        </w:rPr>
        <w:t xml:space="preserve">ба на човечките капацитети. </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извештајниот период не се регистрирани случаи на репатријација на странски терористички борци. Во 2022 година против пет лица </w:t>
      </w:r>
      <w:r w:rsidR="00534D70">
        <w:rPr>
          <w:rFonts w:ascii="Times New Roman" w:hAnsi="Times New Roman"/>
          <w:color w:val="000000"/>
          <w:sz w:val="24"/>
          <w:szCs w:val="24"/>
        </w:rPr>
        <w:t xml:space="preserve">беа </w:t>
      </w:r>
      <w:r>
        <w:rPr>
          <w:rFonts w:ascii="Times New Roman" w:hAnsi="Times New Roman"/>
          <w:color w:val="000000"/>
          <w:sz w:val="24"/>
          <w:szCs w:val="24"/>
        </w:rPr>
        <w:t xml:space="preserve">покренати обвиненија за наводно извршување на пет одделни кривични дела поврзани со „тероризам“ и „учество во странски паравоени или параполициски формации“. Во 2022 година три случаи резултирале со пресуди за кривично дело „тероризам“, од кои две се конечни, а за една се води жалбена постапка. За споредба, во 2021 година биле донесени четири судски пресуди против четворица вратени странски терористички борци и против едно лице било поднесено обвинение за тероризам. </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2022 </w:t>
      </w:r>
      <w:r w:rsidRPr="00787C12">
        <w:rPr>
          <w:rFonts w:ascii="Times New Roman" w:hAnsi="Times New Roman"/>
          <w:color w:val="000000"/>
          <w:sz w:val="24"/>
          <w:szCs w:val="24"/>
        </w:rPr>
        <w:t>година секторот</w:t>
      </w:r>
      <w:r>
        <w:rPr>
          <w:rFonts w:ascii="Times New Roman" w:hAnsi="Times New Roman"/>
          <w:color w:val="000000"/>
          <w:sz w:val="24"/>
          <w:szCs w:val="24"/>
        </w:rPr>
        <w:t xml:space="preserve"> задолжен за борба против тероризмот, насилниот екстремизам и радикализам во рамките на Министерството за внатрешни работи учествувал во аналитичките проекти на Европол за борба против тероризам и финансирање на тероризам. </w:t>
      </w:r>
      <w:r w:rsidR="00534D70">
        <w:rPr>
          <w:rFonts w:ascii="Times New Roman" w:hAnsi="Times New Roman"/>
          <w:color w:val="000000"/>
          <w:sz w:val="24"/>
          <w:szCs w:val="24"/>
        </w:rPr>
        <w:t xml:space="preserve">Беа </w:t>
      </w:r>
      <w:r>
        <w:rPr>
          <w:rFonts w:ascii="Times New Roman" w:hAnsi="Times New Roman"/>
          <w:color w:val="000000"/>
          <w:sz w:val="24"/>
          <w:szCs w:val="24"/>
        </w:rPr>
        <w:t>разменети вкупно 387 пораки со партнерските служби од други држави преку СИЕНА, платформа за борба против тероризам на Европол.</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Управата за финансиско разузнавање ги ажурирала показателите за препознавање на сомнителните трансакции што потенцијално се поврзани со финансирање на тероризам или финансирање на пролиферација. Во 2022 година беа донесени повеќе </w:t>
      </w:r>
      <w:r w:rsidRPr="00787C12">
        <w:rPr>
          <w:rFonts w:ascii="Times New Roman" w:hAnsi="Times New Roman"/>
          <w:color w:val="000000"/>
          <w:sz w:val="24"/>
          <w:szCs w:val="24"/>
        </w:rPr>
        <w:t>стратешки анализи од страна на раководителот на Управата за финансиско разузнавање, како што се стратешката анализа за финансирање на пролиферација, стратешк</w:t>
      </w:r>
      <w:r w:rsidRPr="00BF7D21">
        <w:rPr>
          <w:rFonts w:ascii="Times New Roman" w:hAnsi="Times New Roman"/>
          <w:color w:val="000000"/>
          <w:sz w:val="24"/>
          <w:szCs w:val="24"/>
        </w:rPr>
        <w:t>ат</w:t>
      </w:r>
      <w:r w:rsidRPr="00787C12">
        <w:rPr>
          <w:rFonts w:ascii="Times New Roman" w:hAnsi="Times New Roman"/>
          <w:color w:val="000000"/>
          <w:sz w:val="24"/>
          <w:szCs w:val="24"/>
        </w:rPr>
        <w:t>а анализа</w:t>
      </w:r>
      <w:r>
        <w:rPr>
          <w:rFonts w:ascii="Times New Roman" w:hAnsi="Times New Roman"/>
          <w:color w:val="000000"/>
          <w:sz w:val="24"/>
          <w:szCs w:val="24"/>
        </w:rPr>
        <w:t xml:space="preserve"> за трансакции преку услуги за брз трансфер на пари и прирачникот за олеснување на употребата на практичните показатели за идентификување сомнителни финансиски трансакции.</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септември 2022 година бил </w:t>
      </w:r>
      <w:r w:rsidRPr="00787C12">
        <w:rPr>
          <w:rFonts w:ascii="Times New Roman" w:hAnsi="Times New Roman"/>
          <w:color w:val="000000"/>
          <w:sz w:val="24"/>
          <w:szCs w:val="24"/>
        </w:rPr>
        <w:t xml:space="preserve">потпишан </w:t>
      </w:r>
      <w:r>
        <w:rPr>
          <w:rFonts w:ascii="Times New Roman" w:hAnsi="Times New Roman"/>
          <w:color w:val="000000"/>
          <w:sz w:val="24"/>
          <w:szCs w:val="24"/>
        </w:rPr>
        <w:t>М</w:t>
      </w:r>
      <w:r w:rsidRPr="00787C12">
        <w:rPr>
          <w:rFonts w:ascii="Times New Roman" w:hAnsi="Times New Roman"/>
          <w:color w:val="000000"/>
          <w:sz w:val="24"/>
          <w:szCs w:val="24"/>
        </w:rPr>
        <w:t>еморандум</w:t>
      </w:r>
      <w:r>
        <w:rPr>
          <w:rFonts w:ascii="Times New Roman" w:hAnsi="Times New Roman"/>
          <w:color w:val="000000"/>
          <w:sz w:val="24"/>
          <w:szCs w:val="24"/>
        </w:rPr>
        <w:t xml:space="preserve"> за соработка, координација и размена на информации за ефективна и ефикасна примена на Законот за рестриктивни мерки од страна на министерот за внатрешни работи, министерот за надворешни работи, директорот на Агенцијата за разузнавање, директорот на Управата за финансиско разузнавање, директорот на Агенцијата за национална безбедност и </w:t>
      </w:r>
      <w:r w:rsidRPr="00787C12">
        <w:rPr>
          <w:rFonts w:ascii="Times New Roman" w:hAnsi="Times New Roman"/>
          <w:color w:val="000000"/>
          <w:sz w:val="24"/>
          <w:szCs w:val="24"/>
        </w:rPr>
        <w:t>Јав</w:t>
      </w:r>
      <w:r>
        <w:rPr>
          <w:rFonts w:ascii="Times New Roman" w:hAnsi="Times New Roman"/>
          <w:color w:val="000000"/>
          <w:sz w:val="24"/>
          <w:szCs w:val="24"/>
        </w:rPr>
        <w:t>ниот обвинител. Изречени се финансиски рестриктивни мерки за 15 лица што учествувале во странски војски, полициски, паравоени или параполициски формации надвор од Северна Македонија.</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Воспоставени се дополнителни мултидисциплинарни тимови во рамките на државниот затворски систем за следење на однесувањето на затворениците осудени за тероризам.</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За радикализираните затвореници воведени се стандардни оперативни постапки пред отпуштањето од затвор и помош по отслужувањето на казната.</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b/>
          <w:bCs/>
          <w:color w:val="000000"/>
          <w:sz w:val="24"/>
          <w:szCs w:val="24"/>
        </w:rPr>
        <w:t>Судска соработка во граѓанска и кривична материја</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Напредокот во однос на правната рамка за соработка во граѓанските и кривичните предмети беше ограничен. </w:t>
      </w:r>
      <w:r>
        <w:rPr>
          <w:rFonts w:ascii="Times New Roman" w:hAnsi="Times New Roman"/>
          <w:sz w:val="24"/>
          <w:szCs w:val="24"/>
        </w:rPr>
        <w:t xml:space="preserve">Северна Македонија треба да ги ратификува Хашката конвенција за спогодби за избор на суд од 2005 година, Хашката конвенција за заштита на децата од 1996 година, Хашката конвенција за меѓународно остварување на правата за издржување на детето и </w:t>
      </w:r>
      <w:r w:rsidRPr="00787C12">
        <w:rPr>
          <w:rFonts w:ascii="Times New Roman" w:hAnsi="Times New Roman"/>
          <w:sz w:val="24"/>
          <w:szCs w:val="24"/>
        </w:rPr>
        <w:t xml:space="preserve">нејзиниот </w:t>
      </w:r>
      <w:r>
        <w:rPr>
          <w:rFonts w:ascii="Times New Roman" w:hAnsi="Times New Roman"/>
          <w:sz w:val="24"/>
          <w:szCs w:val="24"/>
        </w:rPr>
        <w:t>П</w:t>
      </w:r>
      <w:r w:rsidRPr="00787C12">
        <w:rPr>
          <w:rFonts w:ascii="Times New Roman" w:hAnsi="Times New Roman"/>
          <w:sz w:val="24"/>
          <w:szCs w:val="24"/>
        </w:rPr>
        <w:t>ротокол</w:t>
      </w:r>
      <w:r>
        <w:rPr>
          <w:rFonts w:ascii="Times New Roman" w:hAnsi="Times New Roman"/>
          <w:sz w:val="24"/>
          <w:szCs w:val="24"/>
        </w:rPr>
        <w:t xml:space="preserve"> за применливо право од 2007 година, кои веќе се потпишани.</w:t>
      </w:r>
      <w:r>
        <w:rPr>
          <w:rFonts w:ascii="Times New Roman" w:hAnsi="Times New Roman"/>
          <w:color w:val="000000"/>
          <w:sz w:val="24"/>
          <w:szCs w:val="24"/>
        </w:rPr>
        <w:t xml:space="preserve"> Дополнително, државата треба да ги преземе неопходните мерки за да ја ратификува Хашката конвенција за признавање и </w:t>
      </w:r>
      <w:r w:rsidRPr="00787C12">
        <w:rPr>
          <w:rFonts w:ascii="Times New Roman" w:hAnsi="Times New Roman"/>
          <w:color w:val="000000"/>
          <w:sz w:val="24"/>
          <w:szCs w:val="24"/>
        </w:rPr>
        <w:t>извршување</w:t>
      </w:r>
      <w:r>
        <w:rPr>
          <w:rFonts w:ascii="Times New Roman" w:hAnsi="Times New Roman"/>
          <w:color w:val="000000"/>
          <w:sz w:val="24"/>
          <w:szCs w:val="24"/>
        </w:rPr>
        <w:t xml:space="preserve"> странски пресуди во граѓански или трговски предмети („Хашка конвенција за пресуди“).</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Кривичниот оддел при</w:t>
      </w:r>
      <w:r w:rsidRPr="00787C12">
        <w:rPr>
          <w:rFonts w:ascii="Times New Roman" w:hAnsi="Times New Roman"/>
          <w:color w:val="000000"/>
          <w:sz w:val="24"/>
          <w:szCs w:val="24"/>
        </w:rPr>
        <w:t xml:space="preserve"> М</w:t>
      </w:r>
      <w:r>
        <w:rPr>
          <w:rFonts w:ascii="Times New Roman" w:hAnsi="Times New Roman"/>
          <w:color w:val="000000"/>
          <w:sz w:val="24"/>
          <w:szCs w:val="24"/>
        </w:rPr>
        <w:t>инистерството за правда моментно се соочува со недостиг од кадар и во него се вработени само раководител на одделот и четворица државни службеници од предвидените седум.</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Во 2022 година имало 789 дојдовни и 220 појдовни барања за меѓусебна правна помош во граѓански предмети (во споредба со 429 дојдовни и 141 појдовно барање во 2021 година). Барањата се препраќаат до надлежниот орган во рок од седум дена.</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Во 2022 година имало 1.147 дојдовни и 824 појдовни барања за меѓусебна правна помош во кривични предмети (во споредба со 856 дојдовни и 233 појдовни барања во 2021 година). Овие случаи не се целосно обработени и Министерството за правда нема точни податоци за бројот на тековни постапки.</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Продолжува соработката со Европравда. Министерството за правда донело Правилник за соработка помеѓу Државното јавно обвинителство, Министерството за правда и Европравда. Правилникот е заснован врз Законот за меѓународна правна соработка во кривичната материја од 2021 година. Вршителот на должноста Обвинител за врски со Европравда беше активно вклучен во помагањето на тековните истраги. Во тек е постапка за избор на постојан Обвинител за врски со Европравда, врз основа на повикот објавен во декември 2022 година. </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Во октомври 2022 година Европското јавно обвинителство и Јавниот обвинител на Северна Македонија потпишале работен договор.</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b/>
          <w:bCs/>
          <w:color w:val="000000"/>
          <w:sz w:val="24"/>
          <w:szCs w:val="24"/>
        </w:rPr>
        <w:t>Легална и нелегална миграција</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u w:val="single"/>
        </w:rPr>
        <w:t>Институционална поставеност и правно усогласување</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Правната рамка за миграција во голема мера е во согласност со стандардите на ЕУ. Кризната состојба што била прогласена на границите на земјата била продолжена до крајот на декември 2023 година, со </w:t>
      </w:r>
      <w:r w:rsidRPr="00787C12">
        <w:rPr>
          <w:rFonts w:ascii="Times New Roman" w:hAnsi="Times New Roman"/>
          <w:color w:val="000000"/>
          <w:sz w:val="24"/>
          <w:szCs w:val="24"/>
        </w:rPr>
        <w:t xml:space="preserve">што се </w:t>
      </w:r>
      <w:r>
        <w:rPr>
          <w:rFonts w:ascii="Times New Roman" w:hAnsi="Times New Roman"/>
          <w:color w:val="000000"/>
          <w:sz w:val="24"/>
          <w:szCs w:val="24"/>
        </w:rPr>
        <w:t>овозможи</w:t>
      </w:r>
      <w:r w:rsidRPr="00787C12">
        <w:rPr>
          <w:rFonts w:ascii="Times New Roman" w:hAnsi="Times New Roman"/>
          <w:color w:val="000000"/>
          <w:sz w:val="24"/>
          <w:szCs w:val="24"/>
        </w:rPr>
        <w:t xml:space="preserve"> продолжено</w:t>
      </w:r>
      <w:r>
        <w:rPr>
          <w:rFonts w:ascii="Times New Roman" w:hAnsi="Times New Roman"/>
          <w:color w:val="000000"/>
          <w:sz w:val="24"/>
          <w:szCs w:val="24"/>
        </w:rPr>
        <w:t xml:space="preserve"> распоредување на војската.</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Министерството за внатрешни работи е главно оперативно тело во областа на миграцијата.</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Северна Македонија има низа </w:t>
      </w:r>
      <w:r w:rsidRPr="00787C12">
        <w:rPr>
          <w:rFonts w:ascii="Times New Roman" w:hAnsi="Times New Roman"/>
          <w:color w:val="000000"/>
          <w:sz w:val="24"/>
          <w:szCs w:val="24"/>
        </w:rPr>
        <w:t>стратешки документи</w:t>
      </w:r>
      <w:r>
        <w:rPr>
          <w:rFonts w:ascii="Times New Roman" w:hAnsi="Times New Roman"/>
          <w:color w:val="000000"/>
          <w:sz w:val="24"/>
          <w:szCs w:val="24"/>
        </w:rPr>
        <w:t xml:space="preserve"> во областа на миграцијата: Национална стратегија за интегрирано гранично управување 2021 - 2025 со Акциски план за спроведување (2022 - 2025), Резолуција за миграциската политика за 2021 - 2025 година, Миграциски профил 2021 година и Национална стратегија за соработка со дијаспората за 2019 - 2023 година. Новата стратегија за интеграција на бегалци и странци е во постапка на донесување уште од септември 2021 година. Допрва треба да се финализира и да се донесе план за непредвидени ситуации за управување со големи миграциски текови.</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Северна Македонија учествува во регионалното Оперативно партнерство со Западен Балкан за борба против криумчарење, воспоставено во ноември 2022 година, како поддршка за спроведување на законот и судска соработка против криминалните мрежи за криумчарење и за зголемување на капацитетите за управување со границите.</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u w:val="single"/>
        </w:rPr>
        <w:t>Капацитет за спроведување и извршување</w:t>
      </w:r>
    </w:p>
    <w:p w:rsidR="009768C4" w:rsidRPr="00787C12" w:rsidRDefault="009768C4" w:rsidP="00A661C4">
      <w:pPr>
        <w:shd w:val="clear" w:color="auto" w:fill="FFFFFF"/>
        <w:spacing w:before="120" w:after="120" w:line="240" w:lineRule="auto"/>
        <w:jc w:val="both"/>
        <w:rPr>
          <w:rFonts w:ascii="Times New Roman" w:hAnsi="Times New Roman"/>
          <w:sz w:val="24"/>
          <w:szCs w:val="24"/>
        </w:rPr>
      </w:pPr>
      <w:r w:rsidRPr="00787C12">
        <w:rPr>
          <w:rFonts w:ascii="Times New Roman" w:hAnsi="Times New Roman"/>
          <w:color w:val="000000"/>
          <w:sz w:val="24"/>
          <w:szCs w:val="24"/>
        </w:rPr>
        <w:t xml:space="preserve">Земјата </w:t>
      </w:r>
      <w:r>
        <w:rPr>
          <w:rFonts w:ascii="Times New Roman" w:hAnsi="Times New Roman"/>
          <w:color w:val="000000"/>
          <w:sz w:val="24"/>
          <w:szCs w:val="24"/>
        </w:rPr>
        <w:t>и понатаму</w:t>
      </w:r>
      <w:r w:rsidRPr="00787C12">
        <w:rPr>
          <w:rFonts w:ascii="Times New Roman" w:hAnsi="Times New Roman"/>
          <w:color w:val="000000"/>
          <w:sz w:val="24"/>
          <w:szCs w:val="24"/>
        </w:rPr>
        <w:t xml:space="preserve"> има активна</w:t>
      </w:r>
      <w:r>
        <w:rPr>
          <w:rFonts w:ascii="Times New Roman" w:hAnsi="Times New Roman"/>
          <w:color w:val="000000"/>
          <w:sz w:val="24"/>
          <w:szCs w:val="24"/>
        </w:rPr>
        <w:t xml:space="preserve"> улога во управувањето со мешаните миграциски текови. Вложени се дополнителни напори за да се осигурат основни услови за живот и услуги за сите мигранти во Северна Македонија. Меѓутоа, постои потреба од зајакнување на институционалните и административните капацитети за сите аспекти на управување со миграцијата преку зголемување на бројот на вработени и обезбедување дополнителни материјални и технички ресурси. Од април 2023 година Фронтекс е </w:t>
      </w:r>
      <w:r w:rsidRPr="00787C12">
        <w:rPr>
          <w:rFonts w:ascii="Times New Roman" w:hAnsi="Times New Roman"/>
          <w:color w:val="000000"/>
          <w:sz w:val="24"/>
          <w:szCs w:val="24"/>
        </w:rPr>
        <w:t>распореден и обезбедува оперативна поддршка на јужната граница на земјата.</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sidRPr="00ED3633">
        <w:rPr>
          <w:rFonts w:ascii="Times New Roman" w:hAnsi="Times New Roman"/>
          <w:color w:val="000000"/>
          <w:sz w:val="24"/>
          <w:szCs w:val="24"/>
        </w:rPr>
        <w:t>Стратешката рамка треба дополнително да се зајакне, особено во однос на спроведување</w:t>
      </w:r>
      <w:r w:rsidRPr="00122E84">
        <w:rPr>
          <w:rFonts w:ascii="Times New Roman" w:hAnsi="Times New Roman"/>
          <w:color w:val="000000"/>
          <w:sz w:val="24"/>
          <w:szCs w:val="24"/>
        </w:rPr>
        <w:t>то</w:t>
      </w:r>
      <w:r>
        <w:rPr>
          <w:rFonts w:ascii="Times New Roman" w:hAnsi="Times New Roman"/>
          <w:color w:val="000000"/>
          <w:sz w:val="24"/>
          <w:szCs w:val="24"/>
        </w:rPr>
        <w:t xml:space="preserve"> мерки за поддршка. Иако регистрацијата на мигрантите продолжи во 2021 година, приоритетно е да се реши недостигот на соодветно </w:t>
      </w:r>
      <w:r w:rsidRPr="00E7409A">
        <w:rPr>
          <w:rFonts w:ascii="Times New Roman" w:hAnsi="Times New Roman"/>
          <w:color w:val="000000"/>
          <w:sz w:val="24"/>
          <w:szCs w:val="24"/>
        </w:rPr>
        <w:t>профилирање чувствително на заштита</w:t>
      </w:r>
      <w:r>
        <w:rPr>
          <w:rFonts w:ascii="Times New Roman" w:hAnsi="Times New Roman"/>
          <w:color w:val="000000"/>
          <w:sz w:val="24"/>
          <w:szCs w:val="24"/>
        </w:rPr>
        <w:t>. Потребна е посистематска регистрација и профилирање чувствително на заштита. Поделбата на задачите помеѓу повеќе институции што работат на миграција ја намалува ефикасноста во управувањето со миграцијата. Сè уште не е спроведена длабинската оцена (мастер-план) за Северна Македонија, развиена минатата годна од Фронтекс.</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Договорите за реадмисија и спроведување на протоколите потпишани со осум земји членки на ЕУ продолжуваат да се спроведуваат. Се преговара за четири други договори. Освен тоа, Северна Македонија има билатерални договори за реадмисија со осум земји што не се членки на ЕУ (се преговара за шест дополнителни договори). Соработката со соседните земји и понатаму е задоволителна. Меѓутоа, постои простор за поголема меѓугранична соработка со соседните земји во спроведувањето на враќањата и справувањето со трговијата со луѓе и криумчарењето мигранти.</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Бројот на нелегални движења низ Северна Македонија се зголемил, со 27.391 нелегално влегување во 2022 година во споредба со 20.874 во 2021 година. Најголем број од овие луѓе патувале од Грција кон Србија.</w:t>
      </w:r>
      <w:r w:rsidR="00AF05B3">
        <w:rPr>
          <w:rFonts w:ascii="Times New Roman" w:hAnsi="Times New Roman"/>
          <w:color w:val="000000"/>
          <w:sz w:val="24"/>
          <w:szCs w:val="24"/>
        </w:rPr>
        <w:t xml:space="preserve"> </w:t>
      </w:r>
      <w:r>
        <w:rPr>
          <w:rFonts w:ascii="Times New Roman" w:hAnsi="Times New Roman"/>
          <w:color w:val="000000"/>
          <w:sz w:val="24"/>
          <w:szCs w:val="24"/>
        </w:rPr>
        <w:t xml:space="preserve">Најголемите групи ги претставуваат државјаните на Сирија (11.018), Пакистан (5.594) и Мароко (2.541), од кои најмногу биле мажи самци. Нелегалните мигранти остануваат цел на организирани криминални групи вклучени во криумчарење луѓе, кои честопати изнудуваат пари и ги злоупотребуваат мигрантите на различни начини. </w:t>
      </w:r>
      <w:r>
        <w:rPr>
          <w:rFonts w:ascii="Times New Roman" w:hAnsi="Times New Roman"/>
          <w:sz w:val="24"/>
          <w:szCs w:val="24"/>
        </w:rPr>
        <w:t>Нов феномен на Западен Балкан е злоупотребата на безвизниот режим на Северна Македонија со лица што доаѓаат од Турција, Тунис, Индија, Бургунди и Кина, меѓу останатите.</w:t>
      </w:r>
      <w:r>
        <w:rPr>
          <w:rFonts w:ascii="Times New Roman" w:hAnsi="Times New Roman"/>
          <w:color w:val="000000"/>
          <w:sz w:val="24"/>
          <w:szCs w:val="24"/>
        </w:rPr>
        <w:t xml:space="preserve"> Северна Македонија повторно воведе визи за државјаните на Азербејџан, Боцвана и Куба.</w:t>
      </w:r>
    </w:p>
    <w:p w:rsidR="009768C4" w:rsidRPr="00C65099" w:rsidRDefault="009768C4" w:rsidP="00A661C4">
      <w:pPr>
        <w:shd w:val="clear" w:color="auto" w:fill="FFFFFF"/>
        <w:spacing w:before="120" w:after="120" w:line="240" w:lineRule="auto"/>
        <w:jc w:val="both"/>
        <w:rPr>
          <w:rFonts w:ascii="Times New Roman" w:hAnsi="Times New Roman"/>
          <w:sz w:val="24"/>
          <w:szCs w:val="24"/>
          <w:lang w:val="ru-RU"/>
        </w:rPr>
      </w:pPr>
      <w:r>
        <w:rPr>
          <w:rFonts w:ascii="Times New Roman" w:hAnsi="Times New Roman"/>
          <w:color w:val="000000"/>
          <w:sz w:val="24"/>
          <w:szCs w:val="24"/>
        </w:rPr>
        <w:t xml:space="preserve">Во 2022 година биле регистрирани 107 случаи на криумчарење, во кои биле вклучени 1.454 мигранти (во споредба со 64 случаи во кои биле вклучени 815 мигранти во 2021 година - зголемување од 67,2 % и речиси 80 % соодветно). И понатаму е голем бројот </w:t>
      </w:r>
      <w:r w:rsidRPr="00317859">
        <w:rPr>
          <w:rFonts w:ascii="Times New Roman" w:hAnsi="Times New Roman"/>
          <w:color w:val="000000"/>
          <w:sz w:val="24"/>
          <w:szCs w:val="24"/>
        </w:rPr>
        <w:t xml:space="preserve">на </w:t>
      </w:r>
      <w:r>
        <w:rPr>
          <w:rFonts w:ascii="Times New Roman" w:hAnsi="Times New Roman"/>
          <w:color w:val="000000"/>
          <w:sz w:val="24"/>
          <w:szCs w:val="24"/>
        </w:rPr>
        <w:t xml:space="preserve">мигранти што се </w:t>
      </w:r>
      <w:r w:rsidRPr="00317859">
        <w:rPr>
          <w:rFonts w:ascii="Times New Roman" w:hAnsi="Times New Roman"/>
          <w:color w:val="000000"/>
          <w:sz w:val="24"/>
          <w:szCs w:val="24"/>
        </w:rPr>
        <w:t>криумчар</w:t>
      </w:r>
      <w:r>
        <w:rPr>
          <w:rFonts w:ascii="Times New Roman" w:hAnsi="Times New Roman"/>
          <w:color w:val="000000"/>
          <w:sz w:val="24"/>
          <w:szCs w:val="24"/>
        </w:rPr>
        <w:t>ат</w:t>
      </w:r>
      <w:r w:rsidDel="00317859">
        <w:rPr>
          <w:rFonts w:ascii="Times New Roman" w:hAnsi="Times New Roman"/>
          <w:color w:val="000000"/>
          <w:sz w:val="24"/>
          <w:szCs w:val="24"/>
        </w:rPr>
        <w:t xml:space="preserve"> </w:t>
      </w:r>
      <w:r>
        <w:rPr>
          <w:rFonts w:ascii="Times New Roman" w:hAnsi="Times New Roman"/>
          <w:color w:val="000000"/>
          <w:sz w:val="24"/>
          <w:szCs w:val="24"/>
        </w:rPr>
        <w:t>и борбата против мрежите на криумчарење останува приоритет.</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Редовниот капацитет за прием е непроменет и соодветен е на тековните потреби. И понатаму</w:t>
      </w:r>
      <w:r w:rsidRPr="00317859">
        <w:rPr>
          <w:rFonts w:ascii="Times New Roman" w:hAnsi="Times New Roman"/>
          <w:color w:val="000000"/>
          <w:sz w:val="24"/>
          <w:szCs w:val="24"/>
        </w:rPr>
        <w:t xml:space="preserve"> загрижува</w:t>
      </w:r>
      <w:r>
        <w:rPr>
          <w:rFonts w:ascii="Times New Roman" w:hAnsi="Times New Roman"/>
          <w:color w:val="000000"/>
          <w:sz w:val="24"/>
          <w:szCs w:val="24"/>
        </w:rPr>
        <w:t xml:space="preserve"> произволното притворање на лица што се приведени при нелегално движење, со цел да се земе нивниот исказ </w:t>
      </w:r>
      <w:r w:rsidRPr="00317859">
        <w:rPr>
          <w:rFonts w:ascii="Times New Roman" w:hAnsi="Times New Roman"/>
          <w:color w:val="000000"/>
          <w:sz w:val="24"/>
          <w:szCs w:val="24"/>
        </w:rPr>
        <w:t xml:space="preserve">пред </w:t>
      </w:r>
      <w:r>
        <w:rPr>
          <w:rFonts w:ascii="Times New Roman" w:hAnsi="Times New Roman"/>
          <w:color w:val="000000"/>
          <w:sz w:val="24"/>
          <w:szCs w:val="24"/>
        </w:rPr>
        <w:t>к</w:t>
      </w:r>
      <w:r w:rsidRPr="00317859">
        <w:rPr>
          <w:rFonts w:ascii="Times New Roman" w:hAnsi="Times New Roman"/>
          <w:color w:val="000000"/>
          <w:sz w:val="24"/>
          <w:szCs w:val="24"/>
        </w:rPr>
        <w:t>ривич</w:t>
      </w:r>
      <w:r>
        <w:rPr>
          <w:rFonts w:ascii="Times New Roman" w:hAnsi="Times New Roman"/>
          <w:color w:val="000000"/>
          <w:sz w:val="24"/>
          <w:szCs w:val="24"/>
        </w:rPr>
        <w:t xml:space="preserve">ниот суд. Процентот на барања за азил регистрирани </w:t>
      </w:r>
      <w:r w:rsidRPr="00317859">
        <w:rPr>
          <w:rFonts w:ascii="Times New Roman" w:hAnsi="Times New Roman"/>
          <w:color w:val="000000"/>
          <w:sz w:val="24"/>
          <w:szCs w:val="24"/>
        </w:rPr>
        <w:t xml:space="preserve">во </w:t>
      </w:r>
      <w:r>
        <w:rPr>
          <w:rFonts w:ascii="Times New Roman" w:hAnsi="Times New Roman"/>
          <w:color w:val="000000"/>
          <w:sz w:val="24"/>
          <w:szCs w:val="24"/>
        </w:rPr>
        <w:t>П</w:t>
      </w:r>
      <w:r w:rsidRPr="00317859">
        <w:rPr>
          <w:rFonts w:ascii="Times New Roman" w:hAnsi="Times New Roman"/>
          <w:color w:val="000000"/>
          <w:sz w:val="24"/>
          <w:szCs w:val="24"/>
        </w:rPr>
        <w:t>рифатниот</w:t>
      </w:r>
      <w:r>
        <w:rPr>
          <w:rFonts w:ascii="Times New Roman" w:hAnsi="Times New Roman"/>
          <w:color w:val="000000"/>
          <w:sz w:val="24"/>
          <w:szCs w:val="24"/>
        </w:rPr>
        <w:t xml:space="preserve"> центар за странци во Гази Баба е значително зголемен на 62,5 % во првото тримесечје на 2023 година од само 8 % во 2022 година.</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Откако со Одлука на Владата во октомври 2021 година беше блокиран обидот за градење нов прифатен центар за странци со средства од ЕУ, не се извршени никакви подобрувања во постојниот прифатен центар, каде што условите за живот се лоши и не се почитуваат </w:t>
      </w:r>
      <w:r w:rsidR="00794C13" w:rsidRPr="00796994">
        <w:rPr>
          <w:rFonts w:ascii="Times New Roman" w:hAnsi="Times New Roman"/>
          <w:iCs/>
          <w:color w:val="000000"/>
          <w:sz w:val="24"/>
          <w:szCs w:val="24"/>
        </w:rPr>
        <w:t>фундаментални</w:t>
      </w:r>
      <w:r>
        <w:rPr>
          <w:rFonts w:ascii="Times New Roman" w:hAnsi="Times New Roman"/>
          <w:color w:val="000000"/>
          <w:sz w:val="24"/>
          <w:szCs w:val="24"/>
        </w:rPr>
        <w:t xml:space="preserve">те права. Со националниот превентивен механизам, во рамките на Канцеларијата на Народниот правобранител, повеќепати </w:t>
      </w:r>
      <w:r w:rsidRPr="00317859">
        <w:rPr>
          <w:rFonts w:ascii="Times New Roman" w:hAnsi="Times New Roman"/>
          <w:color w:val="000000"/>
          <w:sz w:val="24"/>
          <w:szCs w:val="24"/>
        </w:rPr>
        <w:t>се укажа дек</w:t>
      </w:r>
      <w:r>
        <w:rPr>
          <w:rFonts w:ascii="Times New Roman" w:hAnsi="Times New Roman"/>
          <w:color w:val="000000"/>
          <w:sz w:val="24"/>
          <w:szCs w:val="24"/>
        </w:rPr>
        <w:t xml:space="preserve">а овој објект не ги исполнува потребните стандарди за сместување лица со ограничена слобода на движење. Притворените лица не добиваат информации за правните лекови што им се потребни за да го разберат целосно својот правен статус или времетраењето на притворот. </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функција се и два привремени транзитни центра што овозможуваат краткорочно сместување (Винојуг, кој може да прими 1.500 лица и Табановце со капацитет од 500 лица). Меѓутоа, и двата транзитни центра не се соодветни за подолг престој и </w:t>
      </w:r>
      <w:r w:rsidRPr="00317859">
        <w:rPr>
          <w:rFonts w:ascii="Times New Roman" w:hAnsi="Times New Roman"/>
          <w:color w:val="000000"/>
          <w:sz w:val="24"/>
          <w:szCs w:val="24"/>
        </w:rPr>
        <w:t xml:space="preserve">законскиот статус на двата центра </w:t>
      </w:r>
      <w:r>
        <w:rPr>
          <w:rFonts w:ascii="Times New Roman" w:hAnsi="Times New Roman"/>
          <w:color w:val="000000"/>
          <w:sz w:val="24"/>
          <w:szCs w:val="24"/>
        </w:rPr>
        <w:t>е во спротивност со меѓународните стандарди. Недостигот на правен надзор над слободата на движење на мигрантите во транзитниот центар Винојуг, исто така, претставува голем проблем.</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Од летото 2021 година Северна Македонија привремено примила околу 791 евакуирано лице/бегалец од Авганистан. До септември 2023 година, </w:t>
      </w:r>
      <w:r w:rsidRPr="00317859">
        <w:rPr>
          <w:rFonts w:ascii="Times New Roman" w:hAnsi="Times New Roman"/>
          <w:color w:val="000000"/>
          <w:sz w:val="24"/>
          <w:szCs w:val="24"/>
        </w:rPr>
        <w:t xml:space="preserve">674 </w:t>
      </w:r>
      <w:r>
        <w:rPr>
          <w:rFonts w:ascii="Times New Roman" w:hAnsi="Times New Roman"/>
          <w:color w:val="000000"/>
          <w:sz w:val="24"/>
          <w:szCs w:val="24"/>
        </w:rPr>
        <w:t xml:space="preserve">од </w:t>
      </w:r>
      <w:r w:rsidRPr="00317859">
        <w:rPr>
          <w:rFonts w:ascii="Times New Roman" w:hAnsi="Times New Roman"/>
          <w:color w:val="000000"/>
          <w:sz w:val="24"/>
          <w:szCs w:val="24"/>
        </w:rPr>
        <w:t>нив</w:t>
      </w:r>
      <w:r w:rsidRPr="001D4503">
        <w:rPr>
          <w:rFonts w:ascii="Times New Roman" w:hAnsi="Times New Roman"/>
          <w:color w:val="000000"/>
          <w:sz w:val="24"/>
          <w:szCs w:val="24"/>
        </w:rPr>
        <w:t xml:space="preserve"> </w:t>
      </w:r>
      <w:r w:rsidRPr="00317859">
        <w:rPr>
          <w:rFonts w:ascii="Times New Roman" w:hAnsi="Times New Roman"/>
          <w:color w:val="000000"/>
          <w:sz w:val="24"/>
          <w:szCs w:val="24"/>
        </w:rPr>
        <w:t>беа преселени</w:t>
      </w:r>
      <w:r>
        <w:rPr>
          <w:rFonts w:ascii="Times New Roman" w:hAnsi="Times New Roman"/>
          <w:color w:val="000000"/>
          <w:sz w:val="24"/>
          <w:szCs w:val="24"/>
        </w:rPr>
        <w:t xml:space="preserve">. Од март 2022 година Северна Македонија прифаќа бегалци од Украина. До септември 2023 година 67.151 Украинец пристигнал во Северна Македонија, од кои 48.807 ја напуштиле државата. До јуни 2023 година 405 Украинци добиле дозвола за привремен престој во Северна </w:t>
      </w:r>
      <w:r w:rsidRPr="00317859">
        <w:rPr>
          <w:rFonts w:ascii="Times New Roman" w:hAnsi="Times New Roman"/>
          <w:color w:val="000000"/>
          <w:sz w:val="24"/>
          <w:szCs w:val="24"/>
        </w:rPr>
        <w:t xml:space="preserve">Македонија </w:t>
      </w:r>
      <w:r>
        <w:rPr>
          <w:rFonts w:ascii="Times New Roman" w:hAnsi="Times New Roman"/>
          <w:color w:val="000000"/>
          <w:sz w:val="24"/>
          <w:szCs w:val="24"/>
        </w:rPr>
        <w:t>врз</w:t>
      </w:r>
      <w:r w:rsidRPr="00317859">
        <w:rPr>
          <w:rFonts w:ascii="Times New Roman" w:hAnsi="Times New Roman"/>
          <w:color w:val="000000"/>
          <w:sz w:val="24"/>
          <w:szCs w:val="24"/>
        </w:rPr>
        <w:t xml:space="preserve"> хуманитарна</w:t>
      </w:r>
      <w:r>
        <w:rPr>
          <w:rFonts w:ascii="Times New Roman" w:hAnsi="Times New Roman"/>
          <w:color w:val="000000"/>
          <w:sz w:val="24"/>
          <w:szCs w:val="24"/>
        </w:rPr>
        <w:t xml:space="preserve"> основа. Според Законот за странци, под привремен престој се подразбира право за законски престој во државата за период од една година со можност за продолжување.</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Во државата има 235 Роми, Апкали и Египќани од Косово</w:t>
      </w:r>
      <w:hyperlink w:anchor="bookmark16" w:history="1">
        <w:r>
          <w:rPr>
            <w:rFonts w:ascii="Times New Roman" w:hAnsi="Times New Roman"/>
            <w:color w:val="000000"/>
            <w:sz w:val="24"/>
            <w:szCs w:val="24"/>
            <w:vertAlign w:val="superscript"/>
          </w:rPr>
          <w:t>*</w:t>
        </w:r>
      </w:hyperlink>
      <w:r>
        <w:rPr>
          <w:rStyle w:val="FootnoteReference"/>
          <w:rFonts w:ascii="Times New Roman" w:hAnsi="Times New Roman"/>
          <w:color w:val="000000"/>
          <w:sz w:val="24"/>
          <w:szCs w:val="24"/>
        </w:rPr>
        <w:footnoteReference w:customMarkFollows="1" w:id="7"/>
        <w:sym w:font="Symbol" w:char="F02A"/>
      </w:r>
      <w:r>
        <w:rPr>
          <w:rFonts w:ascii="Times New Roman" w:hAnsi="Times New Roman"/>
          <w:color w:val="000000"/>
          <w:sz w:val="24"/>
          <w:szCs w:val="24"/>
        </w:rPr>
        <w:t>, вклучително и 11 лица со статус на бегалци, 64 под супсидијарна заштита и 160 лица чиј статус на заштита завршил</w:t>
      </w:r>
      <w:r w:rsidRPr="00317859">
        <w:rPr>
          <w:rFonts w:ascii="Times New Roman" w:hAnsi="Times New Roman"/>
          <w:color w:val="000000"/>
          <w:sz w:val="24"/>
          <w:szCs w:val="24"/>
        </w:rPr>
        <w:t>.</w:t>
      </w:r>
      <w:r>
        <w:rPr>
          <w:rFonts w:ascii="Times New Roman" w:hAnsi="Times New Roman"/>
          <w:color w:val="000000"/>
          <w:sz w:val="24"/>
          <w:szCs w:val="24"/>
        </w:rPr>
        <w:t xml:space="preserve"> Овие лица се во ранлива ситуација поради немањето законски статус и доволно пристап до </w:t>
      </w:r>
      <w:r w:rsidR="00794C13" w:rsidRPr="00794C13">
        <w:rPr>
          <w:rFonts w:ascii="Times New Roman" w:hAnsi="Times New Roman"/>
          <w:color w:val="000000"/>
          <w:sz w:val="24"/>
          <w:szCs w:val="24"/>
        </w:rPr>
        <w:t>фундаментални</w:t>
      </w:r>
      <w:r w:rsidR="00794C13">
        <w:rPr>
          <w:rFonts w:ascii="Times New Roman" w:hAnsi="Times New Roman"/>
          <w:color w:val="000000"/>
          <w:sz w:val="24"/>
          <w:szCs w:val="24"/>
        </w:rPr>
        <w:t>те</w:t>
      </w:r>
      <w:r>
        <w:rPr>
          <w:rFonts w:ascii="Times New Roman" w:hAnsi="Times New Roman"/>
          <w:color w:val="000000"/>
          <w:sz w:val="24"/>
          <w:szCs w:val="24"/>
        </w:rPr>
        <w:t xml:space="preserve"> права.</w:t>
      </w:r>
      <w:r w:rsidR="00AF05B3">
        <w:rPr>
          <w:rFonts w:ascii="Times New Roman" w:hAnsi="Times New Roman"/>
          <w:color w:val="000000"/>
          <w:sz w:val="24"/>
          <w:szCs w:val="24"/>
        </w:rPr>
        <w:t xml:space="preserve"> </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2022 година вкупно девет лица добиле помош за доброволно враќање во нивните земји на потекло преку </w:t>
      </w:r>
      <w:r w:rsidRPr="00317859">
        <w:rPr>
          <w:rFonts w:ascii="Times New Roman" w:hAnsi="Times New Roman"/>
          <w:color w:val="000000"/>
          <w:sz w:val="24"/>
          <w:szCs w:val="24"/>
        </w:rPr>
        <w:t>програмата за потпомогнато доброволно</w:t>
      </w:r>
      <w:r>
        <w:rPr>
          <w:rFonts w:ascii="Times New Roman" w:hAnsi="Times New Roman"/>
          <w:color w:val="000000"/>
          <w:sz w:val="24"/>
          <w:szCs w:val="24"/>
        </w:rPr>
        <w:t xml:space="preserve"> враќање и реинтеграција.</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b/>
          <w:bCs/>
          <w:color w:val="000000"/>
          <w:sz w:val="24"/>
          <w:szCs w:val="24"/>
        </w:rPr>
        <w:t>Азил</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u w:val="single"/>
        </w:rPr>
        <w:t>Институционална поставеност и правно усогласување</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Секторот за азил при Министерството за внатрешни работи е орган што е одговорен за постапките за азил. Законот за меѓународна и привремена заштита во голема мера е усогласен со </w:t>
      </w:r>
      <w:r w:rsidRPr="00AC6FE1">
        <w:rPr>
          <w:rFonts w:ascii="Times New Roman" w:hAnsi="Times New Roman"/>
          <w:color w:val="000000"/>
          <w:sz w:val="24"/>
          <w:szCs w:val="24"/>
        </w:rPr>
        <w:t>правото</w:t>
      </w:r>
      <w:r>
        <w:rPr>
          <w:rFonts w:ascii="Times New Roman" w:hAnsi="Times New Roman"/>
          <w:color w:val="000000"/>
          <w:sz w:val="24"/>
          <w:szCs w:val="24"/>
        </w:rPr>
        <w:t xml:space="preserve"> на ЕУ.</w:t>
      </w:r>
      <w:r>
        <w:rPr>
          <w:rFonts w:ascii="Times New Roman" w:hAnsi="Times New Roman"/>
          <w:i/>
          <w:iCs/>
          <w:color w:val="000000"/>
          <w:sz w:val="24"/>
          <w:szCs w:val="24"/>
        </w:rPr>
        <w:t xml:space="preserve"> </w:t>
      </w:r>
      <w:r>
        <w:rPr>
          <w:rFonts w:ascii="Times New Roman" w:hAnsi="Times New Roman"/>
          <w:color w:val="000000"/>
          <w:sz w:val="24"/>
          <w:szCs w:val="24"/>
        </w:rPr>
        <w:t>Меѓутоа, сè уште се потребни напори за да се подобрат информирањето и советувањето во објектите за задржување и на граничните премини. Исто така, потребни се напори за да се подобр</w:t>
      </w:r>
      <w:r w:rsidRPr="00C65099">
        <w:rPr>
          <w:rFonts w:ascii="Times New Roman" w:hAnsi="Times New Roman"/>
          <w:color w:val="000000"/>
          <w:sz w:val="24"/>
          <w:szCs w:val="24"/>
          <w:lang w:val="ru-RU"/>
        </w:rPr>
        <w:t>ат</w:t>
      </w:r>
      <w:r>
        <w:rPr>
          <w:rFonts w:ascii="Times New Roman" w:hAnsi="Times New Roman"/>
          <w:color w:val="000000"/>
          <w:sz w:val="24"/>
          <w:szCs w:val="24"/>
        </w:rPr>
        <w:t xml:space="preserve"> личното интервју и граничните постапки. </w:t>
      </w:r>
      <w:r>
        <w:rPr>
          <w:rFonts w:ascii="Times New Roman" w:hAnsi="Times New Roman"/>
          <w:sz w:val="24"/>
          <w:szCs w:val="24"/>
        </w:rPr>
        <w:t>Потребни се дополнителни напори за да се подобрат работничките права на барателите на меѓународна заштита и пристап до број за лична идентификација за да можат да работат, да отворат сметка во банка и да управуваат со имот.</w:t>
      </w:r>
      <w:r>
        <w:rPr>
          <w:rFonts w:ascii="Times New Roman" w:hAnsi="Times New Roman"/>
          <w:color w:val="000000"/>
          <w:sz w:val="24"/>
          <w:szCs w:val="24"/>
        </w:rPr>
        <w:t xml:space="preserve"> Дополнително, постои потреба актуелното законодавство да понуди </w:t>
      </w:r>
      <w:r w:rsidRPr="00317859">
        <w:rPr>
          <w:rFonts w:ascii="Times New Roman" w:hAnsi="Times New Roman"/>
          <w:color w:val="000000"/>
          <w:sz w:val="24"/>
          <w:szCs w:val="24"/>
        </w:rPr>
        <w:t xml:space="preserve">алтернатива </w:t>
      </w:r>
      <w:r>
        <w:rPr>
          <w:rFonts w:ascii="Times New Roman" w:hAnsi="Times New Roman"/>
          <w:color w:val="000000"/>
          <w:sz w:val="24"/>
          <w:szCs w:val="24"/>
        </w:rPr>
        <w:t>з</w:t>
      </w:r>
      <w:r w:rsidRPr="00317859">
        <w:rPr>
          <w:rFonts w:ascii="Times New Roman" w:hAnsi="Times New Roman"/>
          <w:color w:val="000000"/>
          <w:sz w:val="24"/>
          <w:szCs w:val="24"/>
        </w:rPr>
        <w:t>а притворот</w:t>
      </w:r>
      <w:r>
        <w:rPr>
          <w:rFonts w:ascii="Times New Roman" w:hAnsi="Times New Roman"/>
          <w:color w:val="000000"/>
          <w:sz w:val="24"/>
          <w:szCs w:val="24"/>
        </w:rPr>
        <w:t xml:space="preserve"> на лицата што се вмешани во незаконско движење. Потребни се дополнителни напори за да се намалат одложувањата во обединувањето на семејствата за лица што се под супсидијарна заштита, а особено за малолетниците без придружба. Одложувањата може да бидат во спротивност со </w:t>
      </w:r>
      <w:r w:rsidRPr="00317859">
        <w:rPr>
          <w:rFonts w:ascii="Times New Roman" w:hAnsi="Times New Roman"/>
          <w:color w:val="000000"/>
          <w:sz w:val="24"/>
          <w:szCs w:val="24"/>
        </w:rPr>
        <w:t>начелото на најдоб</w:t>
      </w:r>
      <w:r>
        <w:rPr>
          <w:rFonts w:ascii="Times New Roman" w:hAnsi="Times New Roman"/>
          <w:color w:val="000000"/>
          <w:sz w:val="24"/>
          <w:szCs w:val="24"/>
        </w:rPr>
        <w:t>риот интерес на детето.</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Според Законот за странци, лицата што имаат меѓународна заштита може да добијат долгорочен престој. Меѓутоа, тие сè уште мора да достават доказ за редовен приход и регистрирано место на живеење за да имаат придобивка од оваа одредба. Со оглед на ранливоста на некои баратели, особено Ромите од Косово што се под супсидијарна заштита, постои ризик дека правата од оваа одредба ќе останат само теоретски, без практична примена. Постојната база на податоци за странци треба да се надгради со</w:t>
      </w:r>
      <w:r w:rsidR="00AF05B3">
        <w:rPr>
          <w:rFonts w:ascii="Times New Roman" w:hAnsi="Times New Roman"/>
          <w:color w:val="000000"/>
          <w:sz w:val="24"/>
          <w:szCs w:val="24"/>
        </w:rPr>
        <w:t xml:space="preserve"> </w:t>
      </w:r>
      <w:r>
        <w:rPr>
          <w:rFonts w:ascii="Times New Roman" w:hAnsi="Times New Roman"/>
          <w:color w:val="000000"/>
          <w:sz w:val="24"/>
          <w:szCs w:val="24"/>
        </w:rPr>
        <w:t>нов модул за азил за да обезбеди алатка за управување со случаи за обработка на барањата за азил. Нема заостанати случаи на азил. Повеќето се прекинати поради високата стапка на откажување од барањата.</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u w:val="single"/>
        </w:rPr>
        <w:t>Капацитет за спроведување и извршување</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Спроведувањето на постапките за азил сè уште не е целосно усогласено со </w:t>
      </w:r>
      <w:r w:rsidRPr="00F25DBD">
        <w:rPr>
          <w:rFonts w:ascii="Times New Roman" w:hAnsi="Times New Roman"/>
          <w:color w:val="000000"/>
          <w:sz w:val="24"/>
          <w:szCs w:val="24"/>
        </w:rPr>
        <w:t>правото</w:t>
      </w:r>
      <w:r>
        <w:rPr>
          <w:rFonts w:ascii="Times New Roman" w:hAnsi="Times New Roman"/>
          <w:color w:val="000000"/>
          <w:sz w:val="24"/>
          <w:szCs w:val="24"/>
        </w:rPr>
        <w:t xml:space="preserve"> на ЕУ.</w:t>
      </w:r>
      <w:r>
        <w:rPr>
          <w:rFonts w:ascii="Times New Roman" w:hAnsi="Times New Roman"/>
          <w:i/>
          <w:iCs/>
          <w:color w:val="000000"/>
          <w:sz w:val="24"/>
          <w:szCs w:val="24"/>
        </w:rPr>
        <w:t xml:space="preserve"> </w:t>
      </w:r>
      <w:r>
        <w:rPr>
          <w:rFonts w:ascii="Times New Roman" w:hAnsi="Times New Roman"/>
          <w:color w:val="000000"/>
          <w:sz w:val="24"/>
          <w:szCs w:val="24"/>
        </w:rPr>
        <w:t>Развојот на административните капацитети на органите за азил и понатаму останува предизвик, особено во однос на регрутирањето и задржувањето на висококвалификуван и посветен кадар, што е предуслов за висококвалитетна обработка на барањата за азил. Владата не инвестира доволно во подобрувањето на системот за азил, на пример, преку финансирање, техничка стручност и кадар за пополнување на специфичните улоги.</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Не постои проблем околу постапката за азил и барањата за азил веднаш се регистрираат и обработуваат. Меѓутоа, квалитетот и брзината на одлуките за азил и понатаму</w:t>
      </w:r>
      <w:r w:rsidRPr="00317859">
        <w:rPr>
          <w:rFonts w:ascii="Times New Roman" w:hAnsi="Times New Roman"/>
          <w:color w:val="000000"/>
          <w:sz w:val="24"/>
          <w:szCs w:val="24"/>
        </w:rPr>
        <w:t xml:space="preserve"> загрижува</w:t>
      </w:r>
      <w:r>
        <w:rPr>
          <w:rFonts w:ascii="Times New Roman" w:hAnsi="Times New Roman"/>
          <w:color w:val="000000"/>
          <w:sz w:val="24"/>
          <w:szCs w:val="24"/>
        </w:rPr>
        <w:t xml:space="preserve">. Повеќето од лицата на кои им е доделена супсидијарна заштита се ранливи лица и малолетни лица без придружба. Одлуките се засновани врз хуманитарни потреби, но без соодветно разгледување на основаноста на барањето. Севкупното времетраење на целата постапка за азил е неразумна; може да трае и неколку години од првичната регистрација на барањето за азил. </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Управниот суд и Вишиот управен суд донесуваат одлуки врз процедурални основи, а не врз основаноста на поединечни барања за азил. Предметите што му се вратени на управниот орган остануваат непроменети и покрај судските одлуки. Со ова се развлекува постапката за азил без да им се даде соодветен правен лек на барателите на азил. Продолжи практиката на одржување сослушувања во живо со присуство на адвокатите и службениците за азил, но не и на самите баратели на азил. Иако е гарантирана со закон, не е спроведена ниту една постапка за соодветна грижа за лицата со посебни потреби. Дополнително, одлуките за протерување се донесуваат без квалитетна процена и без да се преземат потребните чекори за да се осигури дека вратените баратели на азил нема да бидат подложени на прогон </w:t>
      </w:r>
      <w:r w:rsidRPr="00C65099">
        <w:rPr>
          <w:rFonts w:ascii="Times New Roman" w:hAnsi="Times New Roman"/>
          <w:color w:val="000000"/>
          <w:sz w:val="24"/>
          <w:szCs w:val="24"/>
        </w:rPr>
        <w:t>во нивната земја на дестинација.</w:t>
      </w:r>
      <w:r>
        <w:rPr>
          <w:rFonts w:ascii="Times New Roman" w:hAnsi="Times New Roman"/>
          <w:color w:val="000000"/>
          <w:sz w:val="24"/>
          <w:szCs w:val="24"/>
        </w:rPr>
        <w:t xml:space="preserve"> </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Сè уште не се постапува во врска со немањето броеви за лична идентификација за барателите на азил и лицата со привремена заштита и ова претставува клучен пропуст во законската заштита на правата.</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Потребни се дополнителни напори за да се осигури дека децата на барателите на азил имаат пристап до соодветни образовни услуги во согласност со Законот за основното образование. Нема податоци на национално ниво во врска со децата на бегалците и на барателите на азил што се вклучени во основното и средното образование.</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2022 година биле поднесени 168 барања за азил (во споредба со 100 барања во 2021 година), при што најмногу баратели доаѓаат од Сирија (49 %), Мароко (10 %), Авганистан (6 %), Турција (5 %) и Ирак (5 %). Регистрацијата на барањата за азил не е интегрирана и вклучени се различни субјекти во рамките на Министерството за внатрешни работи. </w:t>
      </w:r>
      <w:r>
        <w:rPr>
          <w:rFonts w:ascii="Times New Roman" w:hAnsi="Times New Roman"/>
          <w:sz w:val="24"/>
          <w:szCs w:val="24"/>
        </w:rPr>
        <w:t>Овде спаѓаат полициските станици каде што првично се регистрираат барањата, прифатните центри и Секторот за азил.</w:t>
      </w:r>
      <w:r>
        <w:rPr>
          <w:rFonts w:ascii="Times New Roman" w:hAnsi="Times New Roman"/>
          <w:color w:val="000000"/>
          <w:sz w:val="24"/>
          <w:szCs w:val="24"/>
        </w:rPr>
        <w:t xml:space="preserve"> До крајот на 2022 година Секторот за азил извршил 14 интервјуа за азил (најчесто преку интернет), одбил 20 барања за азил и не доделил никаква форма на меѓународна заштита (статус на бегалец не му е доделен никому од 2016 година), додека повеќето </w:t>
      </w:r>
      <w:r w:rsidRPr="00057DE0">
        <w:rPr>
          <w:rFonts w:ascii="Times New Roman" w:hAnsi="Times New Roman"/>
          <w:color w:val="000000"/>
          <w:sz w:val="24"/>
          <w:szCs w:val="24"/>
        </w:rPr>
        <w:t>одлуки б</w:t>
      </w:r>
      <w:r>
        <w:rPr>
          <w:rFonts w:ascii="Times New Roman" w:hAnsi="Times New Roman"/>
          <w:color w:val="000000"/>
          <w:sz w:val="24"/>
          <w:szCs w:val="24"/>
        </w:rPr>
        <w:t>иле отпишани поради високите стапки на бегство. Во првото тримесечје на 2023 година било регистрирано 71 барање за азил, што претставува зголемување од 500 % во споредба со истиот период во 2022 година. Најголем дел од барателите доаѓаат од Авганистан, Демократската Република Конго, Пакистан и Сирија.</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Патоказот за соработка договорен помеѓу Агенцијата за азил на Европската Унија и Северна Македонија за периодот од октомври 2020 до септември 2022 година продолжи да биде важна алатка за: зајакнување на системот за азил, особено за лица со посебни потреби и малолетници без придружба; зајакнување на системот за обуки за азил и прием: зголемување на квалитетот на одлуките за азил; и зајакнување на системот за прием за ранливи мигранти и малолетници без придружба.</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b/>
          <w:bCs/>
          <w:color w:val="000000"/>
          <w:sz w:val="24"/>
          <w:szCs w:val="24"/>
        </w:rPr>
        <w:t>Визна политика</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Националниот визен режим во голема мера е усогласен со визниот режим на ЕУ. </w:t>
      </w:r>
      <w:r w:rsidRPr="00C65099">
        <w:rPr>
          <w:rFonts w:ascii="Times New Roman" w:hAnsi="Times New Roman"/>
          <w:color w:val="000000"/>
          <w:sz w:val="24"/>
          <w:szCs w:val="24"/>
        </w:rPr>
        <w:t>До денес, единствено Турција е достапна без виза</w:t>
      </w:r>
      <w:r w:rsidRPr="00C2584C">
        <w:rPr>
          <w:rFonts w:ascii="Times New Roman" w:hAnsi="Times New Roman"/>
          <w:color w:val="000000"/>
          <w:sz w:val="24"/>
          <w:szCs w:val="24"/>
        </w:rPr>
        <w:t xml:space="preserve"> за Северна Македонија, но</w:t>
      </w:r>
      <w:r>
        <w:rPr>
          <w:rFonts w:ascii="Times New Roman" w:hAnsi="Times New Roman"/>
          <w:color w:val="000000"/>
          <w:sz w:val="24"/>
          <w:szCs w:val="24"/>
        </w:rPr>
        <w:t xml:space="preserve"> не и за ЕУ. Во јануари 2023 година Северна Македонија повторно воведе визи за државјани на Боцвана и Куба. Одлуката привремено да се дозволи влез во Северна Македонија без виза за државјани на Азербејџан истече во март 2023 година и не е продолжена. Во </w:t>
      </w:r>
      <w:r w:rsidRPr="00C2584C">
        <w:rPr>
          <w:rFonts w:ascii="Times New Roman" w:hAnsi="Times New Roman"/>
          <w:color w:val="000000"/>
          <w:sz w:val="24"/>
          <w:szCs w:val="24"/>
        </w:rPr>
        <w:t>шестиот</w:t>
      </w:r>
      <w:r>
        <w:rPr>
          <w:rFonts w:ascii="Times New Roman" w:hAnsi="Times New Roman"/>
          <w:color w:val="000000"/>
          <w:sz w:val="24"/>
          <w:szCs w:val="24"/>
        </w:rPr>
        <w:t xml:space="preserve"> извештај на Комисијата во рамките на Механизмот за суспензија на визниот режим за 2023 година</w:t>
      </w:r>
      <w:r w:rsidRPr="0031470B">
        <w:rPr>
          <w:rStyle w:val="FootnoteReference"/>
          <w:rFonts w:ascii="Times New Roman" w:eastAsia="Times New Roman" w:hAnsi="Times New Roman"/>
          <w:color w:val="000000"/>
          <w:sz w:val="24"/>
          <w:szCs w:val="24"/>
        </w:rPr>
        <w:footnoteReference w:id="8"/>
      </w:r>
      <w:r>
        <w:rPr>
          <w:rFonts w:ascii="Times New Roman" w:hAnsi="Times New Roman"/>
          <w:color w:val="000000"/>
          <w:sz w:val="24"/>
          <w:szCs w:val="24"/>
        </w:rPr>
        <w:t xml:space="preserve"> е констатирано дека Северна Македонија продолжила да презема дејства за постапување според претходните препораки на Комисијата и препорачува Северна Македонија да продолжи со добриот напредок во овој поглед. Северна Македонија има високо ниво на усогласеност со стандардите на Меѓународната организација за цивилно воздухопловство. </w:t>
      </w:r>
      <w:r w:rsidRPr="00C2584C">
        <w:rPr>
          <w:rFonts w:ascii="Times New Roman" w:hAnsi="Times New Roman"/>
          <w:color w:val="000000"/>
          <w:sz w:val="24"/>
          <w:szCs w:val="24"/>
        </w:rPr>
        <w:t>Налепницата за виза</w:t>
      </w:r>
      <w:r>
        <w:rPr>
          <w:rFonts w:ascii="Times New Roman" w:hAnsi="Times New Roman"/>
          <w:color w:val="000000"/>
          <w:sz w:val="24"/>
          <w:szCs w:val="24"/>
        </w:rPr>
        <w:t xml:space="preserve"> ги исполнува барањата на ЕУ.</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b/>
          <w:bCs/>
          <w:color w:val="000000"/>
          <w:sz w:val="24"/>
          <w:szCs w:val="24"/>
        </w:rPr>
        <w:t>Шенген и надворешни граници</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u w:val="single"/>
        </w:rPr>
        <w:t>Институционална поставеност и правно усогласување</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Законската рамка за управување со надворешните граници на Северна Македонија во голема мера е усогласена </w:t>
      </w:r>
      <w:r w:rsidRPr="00BD38BA">
        <w:rPr>
          <w:rFonts w:ascii="Times New Roman" w:hAnsi="Times New Roman"/>
          <w:color w:val="000000"/>
          <w:sz w:val="24"/>
          <w:szCs w:val="24"/>
        </w:rPr>
        <w:t>со правото</w:t>
      </w:r>
      <w:r>
        <w:rPr>
          <w:rFonts w:ascii="Times New Roman" w:hAnsi="Times New Roman"/>
          <w:color w:val="000000"/>
          <w:sz w:val="24"/>
          <w:szCs w:val="24"/>
        </w:rPr>
        <w:t xml:space="preserve"> на ЕУ. Одделот за гранични работи и миграции е специјализирана единица во рамките на Министерството за внатрешни работи. Државата има осум гранични премини. Граничната полиција е структурирана во четири регионални центри, во кои работат полициски станици за граничен надзор и за гранична контрола. Северна Македонија има Национален координативен центар за гранично управување.</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Нова интегрирана Стратегија за гранично управување за 2021 - 2025 година </w:t>
      </w:r>
      <w:r w:rsidRPr="00057DE0">
        <w:rPr>
          <w:rFonts w:ascii="Times New Roman" w:hAnsi="Times New Roman"/>
          <w:color w:val="000000"/>
          <w:sz w:val="24"/>
          <w:szCs w:val="24"/>
        </w:rPr>
        <w:t>б</w:t>
      </w:r>
      <w:r>
        <w:rPr>
          <w:rFonts w:ascii="Times New Roman" w:hAnsi="Times New Roman"/>
          <w:color w:val="000000"/>
          <w:sz w:val="24"/>
          <w:szCs w:val="24"/>
        </w:rPr>
        <w:t>ила усвоена во 2022 година. Нејзина цел е да се достигнат безбедни и отворени граници што овозможуваат брз и безбеден транзит на патници и сток</w:t>
      </w:r>
      <w:r w:rsidR="00AB6C4C">
        <w:rPr>
          <w:rFonts w:ascii="Times New Roman" w:hAnsi="Times New Roman"/>
          <w:color w:val="000000"/>
          <w:sz w:val="24"/>
          <w:szCs w:val="24"/>
        </w:rPr>
        <w:t>и</w:t>
      </w:r>
      <w:r>
        <w:rPr>
          <w:rFonts w:ascii="Times New Roman" w:hAnsi="Times New Roman"/>
          <w:color w:val="000000"/>
          <w:sz w:val="24"/>
          <w:szCs w:val="24"/>
        </w:rPr>
        <w:t>, овозможувајќи преземање ефективни мерки против незаконските прекугранични активности.</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u w:val="single"/>
        </w:rPr>
        <w:t>Капацитет за спроведување и извршување</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октомври 2022 година </w:t>
      </w:r>
      <w:r w:rsidRPr="00E42332">
        <w:rPr>
          <w:rFonts w:ascii="Times New Roman" w:hAnsi="Times New Roman"/>
          <w:color w:val="000000"/>
          <w:sz w:val="24"/>
          <w:szCs w:val="24"/>
        </w:rPr>
        <w:t>беше п</w:t>
      </w:r>
      <w:r>
        <w:rPr>
          <w:rFonts w:ascii="Times New Roman" w:hAnsi="Times New Roman"/>
          <w:color w:val="000000"/>
          <w:sz w:val="24"/>
          <w:szCs w:val="24"/>
        </w:rPr>
        <w:t>отпишан Статусен договор за оперативна соработка во граничното управување со Фронтекс, вклучително и верзија на македонски јазик. По стап</w:t>
      </w:r>
      <w:r w:rsidRPr="00E42332">
        <w:rPr>
          <w:rFonts w:ascii="Times New Roman" w:hAnsi="Times New Roman"/>
          <w:color w:val="000000"/>
          <w:sz w:val="24"/>
          <w:szCs w:val="24"/>
        </w:rPr>
        <w:t>увањето во сила</w:t>
      </w:r>
      <w:r>
        <w:rPr>
          <w:rFonts w:ascii="Times New Roman" w:hAnsi="Times New Roman"/>
          <w:color w:val="000000"/>
          <w:sz w:val="24"/>
          <w:szCs w:val="24"/>
        </w:rPr>
        <w:t xml:space="preserve"> на Статусниот договор на 1 април 2023 година, на 19 април 2023 година започнала заедничката операција во Северна Македонија со испраќање на 110 службеници како </w:t>
      </w:r>
      <w:r w:rsidRPr="00C2584C">
        <w:rPr>
          <w:rFonts w:ascii="Times New Roman" w:hAnsi="Times New Roman"/>
          <w:color w:val="000000"/>
          <w:sz w:val="24"/>
          <w:szCs w:val="24"/>
        </w:rPr>
        <w:t xml:space="preserve">поддршка </w:t>
      </w:r>
      <w:r>
        <w:rPr>
          <w:rFonts w:ascii="Times New Roman" w:hAnsi="Times New Roman"/>
          <w:color w:val="000000"/>
          <w:sz w:val="24"/>
          <w:szCs w:val="24"/>
        </w:rPr>
        <w:t>при</w:t>
      </w:r>
      <w:r w:rsidRPr="00C2584C">
        <w:rPr>
          <w:rFonts w:ascii="Times New Roman" w:hAnsi="Times New Roman"/>
          <w:color w:val="000000"/>
          <w:sz w:val="24"/>
          <w:szCs w:val="24"/>
        </w:rPr>
        <w:t xml:space="preserve"> граничната</w:t>
      </w:r>
      <w:r>
        <w:rPr>
          <w:rFonts w:ascii="Times New Roman" w:hAnsi="Times New Roman"/>
          <w:color w:val="000000"/>
          <w:sz w:val="24"/>
          <w:szCs w:val="24"/>
        </w:rPr>
        <w:t xml:space="preserve"> контрола и управувањето со нелегалната миграција и прекуграничниот криминал по целата должина на границата со Грција. Зајакнувањето на контролата на границите на Северна Македонија ќе помогне за да се зголеми безбедноста на надворешните граници на ЕУ.</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sz w:val="24"/>
          <w:szCs w:val="24"/>
        </w:rPr>
        <w:t>Соработката со граничните служби на Албанија, Бугарија, Косово</w:t>
      </w:r>
      <w:r>
        <w:rPr>
          <w:rFonts w:ascii="Times New Roman" w:hAnsi="Times New Roman"/>
          <w:color w:val="FFFFFF"/>
          <w:sz w:val="24"/>
          <w:szCs w:val="24"/>
          <w:vertAlign w:val="superscript"/>
        </w:rPr>
        <w:t>8</w:t>
      </w:r>
      <w:r>
        <w:rPr>
          <w:rFonts w:ascii="Times New Roman" w:hAnsi="Times New Roman"/>
          <w:sz w:val="24"/>
          <w:szCs w:val="24"/>
        </w:rPr>
        <w:t>и Србија се спроведува во согласност со Шенгенскиот каталог на препораки и најдобри практики.</w:t>
      </w:r>
      <w:r>
        <w:rPr>
          <w:rFonts w:ascii="Times New Roman" w:hAnsi="Times New Roman"/>
          <w:color w:val="000000"/>
          <w:sz w:val="24"/>
          <w:szCs w:val="24"/>
        </w:rPr>
        <w:t xml:space="preserve"> </w:t>
      </w:r>
      <w:r w:rsidRPr="00057DE0">
        <w:rPr>
          <w:rFonts w:ascii="Times New Roman" w:hAnsi="Times New Roman"/>
          <w:color w:val="000000"/>
          <w:sz w:val="24"/>
          <w:szCs w:val="24"/>
        </w:rPr>
        <w:t xml:space="preserve">Следниве договори беа </w:t>
      </w:r>
      <w:r w:rsidR="006830D2" w:rsidRPr="00057DE0">
        <w:rPr>
          <w:rFonts w:ascii="Times New Roman" w:hAnsi="Times New Roman"/>
          <w:color w:val="000000"/>
          <w:sz w:val="24"/>
          <w:szCs w:val="24"/>
        </w:rPr>
        <w:t>п</w:t>
      </w:r>
      <w:r w:rsidR="006830D2" w:rsidRPr="006830D2">
        <w:rPr>
          <w:rFonts w:ascii="Times New Roman" w:hAnsi="Times New Roman"/>
          <w:color w:val="000000"/>
          <w:sz w:val="24"/>
          <w:szCs w:val="24"/>
        </w:rPr>
        <w:t>о</w:t>
      </w:r>
      <w:r w:rsidR="006830D2" w:rsidRPr="00057DE0">
        <w:rPr>
          <w:rFonts w:ascii="Times New Roman" w:hAnsi="Times New Roman"/>
          <w:color w:val="000000"/>
          <w:sz w:val="24"/>
          <w:szCs w:val="24"/>
        </w:rPr>
        <w:t>тпишани</w:t>
      </w:r>
      <w:r w:rsidRPr="00057DE0">
        <w:rPr>
          <w:rFonts w:ascii="Times New Roman" w:hAnsi="Times New Roman"/>
          <w:color w:val="000000"/>
          <w:sz w:val="24"/>
          <w:szCs w:val="24"/>
        </w:rPr>
        <w:t xml:space="preserve"> и се спроведуваат: Договор за слобода на движење со лични карти (Западен Балкан); Договор за регулирање на локалниот сообраќај; и Договор за систематско гонење на сторителите на кривични де</w:t>
      </w:r>
      <w:r w:rsidRPr="00122E84">
        <w:rPr>
          <w:rFonts w:ascii="Times New Roman" w:hAnsi="Times New Roman"/>
          <w:color w:val="000000"/>
          <w:sz w:val="24"/>
          <w:szCs w:val="24"/>
        </w:rPr>
        <w:t>ла.</w:t>
      </w:r>
      <w:r>
        <w:rPr>
          <w:rFonts w:ascii="Times New Roman" w:hAnsi="Times New Roman"/>
          <w:color w:val="000000"/>
          <w:sz w:val="24"/>
          <w:szCs w:val="24"/>
        </w:rPr>
        <w:t xml:space="preserve"> Во 2022 година </w:t>
      </w:r>
      <w:r w:rsidR="006830D2">
        <w:rPr>
          <w:rFonts w:ascii="Times New Roman" w:hAnsi="Times New Roman"/>
          <w:color w:val="000000"/>
          <w:sz w:val="24"/>
          <w:szCs w:val="24"/>
        </w:rPr>
        <w:t>беа</w:t>
      </w:r>
      <w:r>
        <w:rPr>
          <w:rFonts w:ascii="Times New Roman" w:hAnsi="Times New Roman"/>
          <w:color w:val="000000"/>
          <w:sz w:val="24"/>
          <w:szCs w:val="24"/>
        </w:rPr>
        <w:t xml:space="preserve"> одржани вкупно 786 состаноци и други контакти со граничните служби на овие држави (во споредба со 708 во 2021 година); </w:t>
      </w:r>
      <w:r w:rsidR="006830D2">
        <w:rPr>
          <w:rFonts w:ascii="Times New Roman" w:hAnsi="Times New Roman"/>
          <w:color w:val="000000"/>
          <w:sz w:val="24"/>
          <w:szCs w:val="24"/>
        </w:rPr>
        <w:t xml:space="preserve">беа </w:t>
      </w:r>
      <w:r>
        <w:rPr>
          <w:rFonts w:ascii="Times New Roman" w:hAnsi="Times New Roman"/>
          <w:color w:val="000000"/>
          <w:sz w:val="24"/>
          <w:szCs w:val="24"/>
        </w:rPr>
        <w:t xml:space="preserve">спроведени 355 мешани патроли (во споредба со 96 во 2021 година); и 1.247 размени на информации </w:t>
      </w:r>
      <w:r w:rsidR="006830D2">
        <w:rPr>
          <w:rFonts w:ascii="Times New Roman" w:hAnsi="Times New Roman"/>
          <w:color w:val="000000"/>
          <w:sz w:val="24"/>
          <w:szCs w:val="24"/>
        </w:rPr>
        <w:t>беа</w:t>
      </w:r>
      <w:r>
        <w:rPr>
          <w:rFonts w:ascii="Times New Roman" w:hAnsi="Times New Roman"/>
          <w:color w:val="000000"/>
          <w:sz w:val="24"/>
          <w:szCs w:val="24"/>
        </w:rPr>
        <w:t xml:space="preserve"> извршени преку заедничките контакт-центри (во споредба со 1.988 во 2021 година). Нема мешани патроли со Грција и сè уште не е воспоставен заеднички контакт-центар.</w:t>
      </w:r>
    </w:p>
    <w:p w:rsidR="009768C4" w:rsidRPr="0031470B"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2022 година </w:t>
      </w:r>
      <w:r w:rsidR="00DF733D">
        <w:rPr>
          <w:rFonts w:ascii="Times New Roman" w:hAnsi="Times New Roman"/>
          <w:color w:val="000000"/>
          <w:sz w:val="24"/>
          <w:szCs w:val="24"/>
        </w:rPr>
        <w:t>беа</w:t>
      </w:r>
      <w:r>
        <w:rPr>
          <w:rFonts w:ascii="Times New Roman" w:hAnsi="Times New Roman"/>
          <w:color w:val="000000"/>
          <w:sz w:val="24"/>
          <w:szCs w:val="24"/>
        </w:rPr>
        <w:t xml:space="preserve"> спроведени 85 дисциплински постапки против полицајци од Одделот за гранични работи и миграции и од четирите регионални центри за гранични работи. Овие постапки резултираа со 54 парични казни, 11 одлуки за разрешување и едно предупредување; 19 постапки беа прекинати. Во 2022 година беше започната истражна постапка во случај започнат во 2021 година против 11 лица за кривични дела според член 353 (злоупотреба на службената положба и овластување) и 357 (примање поткуп) од Кривичниот законик и во март 2023 година, беше поднесено обвинение против пет лица за кривичните дела криминално здружување и примање поткуп и против едно лице за кривичното дело примање поткуп.</w:t>
      </w:r>
    </w:p>
    <w:p w:rsidR="009768C4" w:rsidRDefault="009768C4" w:rsidP="00A661C4">
      <w:r>
        <w:rPr>
          <w:rFonts w:ascii="Times New Roman" w:hAnsi="Times New Roman"/>
          <w:i/>
          <w:iCs/>
          <w:color w:val="000000"/>
          <w:sz w:val="24"/>
          <w:szCs w:val="24"/>
        </w:rPr>
        <w:t>Сите аспекти на царинската соработка сега се опфатени во Поглавје 29 – Царинска унија.</w:t>
      </w:r>
    </w:p>
    <w:p w:rsidR="009768C4" w:rsidRPr="009C5D97" w:rsidRDefault="009768C4" w:rsidP="00A661C4">
      <w:pPr>
        <w:pStyle w:val="Heading2"/>
      </w:pPr>
      <w:bookmarkStart w:id="27" w:name="bookmark18"/>
      <w:bookmarkStart w:id="28" w:name="_Toc150864251"/>
      <w:r w:rsidRPr="009C5D97">
        <w:t>2</w:t>
      </w:r>
      <w:bookmarkEnd w:id="27"/>
      <w:r w:rsidRPr="009C5D97">
        <w:t>.3. Економски критериуми</w:t>
      </w:r>
      <w:bookmarkEnd w:id="28"/>
    </w:p>
    <w:tbl>
      <w:tblPr>
        <w:tblW w:w="9481" w:type="dxa"/>
        <w:tblInd w:w="40" w:type="dxa"/>
        <w:tblLayout w:type="fixed"/>
        <w:tblCellMar>
          <w:left w:w="40" w:type="dxa"/>
          <w:right w:w="40" w:type="dxa"/>
        </w:tblCellMar>
        <w:tblLook w:val="0000" w:firstRow="0" w:lastRow="0" w:firstColumn="0" w:lastColumn="0" w:noHBand="0" w:noVBand="0"/>
      </w:tblPr>
      <w:tblGrid>
        <w:gridCol w:w="5630"/>
        <w:gridCol w:w="891"/>
        <w:gridCol w:w="961"/>
        <w:gridCol w:w="1023"/>
        <w:gridCol w:w="976"/>
      </w:tblGrid>
      <w:tr w:rsidR="009768C4" w:rsidRPr="009C5D97" w:rsidTr="00A661C4">
        <w:trPr>
          <w:trHeight w:val="389"/>
        </w:trPr>
        <w:tc>
          <w:tcPr>
            <w:tcW w:w="5630" w:type="dxa"/>
            <w:tcBorders>
              <w:top w:val="single" w:sz="6" w:space="0" w:color="auto"/>
              <w:left w:val="single" w:sz="6" w:space="0" w:color="auto"/>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p>
        </w:tc>
        <w:tc>
          <w:tcPr>
            <w:tcW w:w="891" w:type="dxa"/>
            <w:tcBorders>
              <w:top w:val="single" w:sz="6" w:space="0" w:color="auto"/>
              <w:left w:val="nil"/>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b/>
                <w:bCs/>
                <w:color w:val="000000"/>
              </w:rPr>
              <w:t>2014-</w:t>
            </w:r>
            <w:r>
              <w:rPr>
                <w:rFonts w:ascii="Times New Roman" w:hAnsi="Times New Roman"/>
                <w:b/>
                <w:bCs/>
                <w:color w:val="000000"/>
              </w:rPr>
              <w:t>20</w:t>
            </w:r>
            <w:r w:rsidRPr="009C5D97">
              <w:rPr>
                <w:rFonts w:ascii="Times New Roman" w:hAnsi="Times New Roman"/>
                <w:b/>
                <w:bCs/>
                <w:color w:val="000000"/>
              </w:rPr>
              <w:t>19</w:t>
            </w:r>
          </w:p>
        </w:tc>
        <w:tc>
          <w:tcPr>
            <w:tcW w:w="961" w:type="dxa"/>
            <w:tcBorders>
              <w:top w:val="single" w:sz="6" w:space="0" w:color="auto"/>
              <w:left w:val="nil"/>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b/>
                <w:bCs/>
                <w:color w:val="000000"/>
              </w:rPr>
              <w:t>2020</w:t>
            </w:r>
          </w:p>
        </w:tc>
        <w:tc>
          <w:tcPr>
            <w:tcW w:w="1023" w:type="dxa"/>
            <w:tcBorders>
              <w:top w:val="single" w:sz="6" w:space="0" w:color="auto"/>
              <w:left w:val="nil"/>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b/>
                <w:bCs/>
                <w:color w:val="000000"/>
              </w:rPr>
              <w:t>2021</w:t>
            </w:r>
          </w:p>
        </w:tc>
        <w:tc>
          <w:tcPr>
            <w:tcW w:w="976" w:type="dxa"/>
            <w:tcBorders>
              <w:top w:val="single" w:sz="6" w:space="0" w:color="auto"/>
              <w:left w:val="nil"/>
              <w:bottom w:val="nil"/>
              <w:right w:val="single" w:sz="6" w:space="0" w:color="auto"/>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b/>
                <w:bCs/>
                <w:color w:val="000000"/>
              </w:rPr>
              <w:t>2022</w:t>
            </w:r>
          </w:p>
        </w:tc>
      </w:tr>
      <w:tr w:rsidR="009768C4" w:rsidRPr="009C5D97" w:rsidTr="00A661C4">
        <w:trPr>
          <w:trHeight w:val="317"/>
        </w:trPr>
        <w:tc>
          <w:tcPr>
            <w:tcW w:w="5630" w:type="dxa"/>
            <w:tcBorders>
              <w:top w:val="nil"/>
              <w:left w:val="single" w:sz="6" w:space="0" w:color="auto"/>
              <w:bottom w:val="single" w:sz="6" w:space="0" w:color="auto"/>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b/>
                <w:bCs/>
                <w:color w:val="000000"/>
              </w:rPr>
              <w:t>Северна Македонија – клучни економски бројки</w:t>
            </w:r>
          </w:p>
        </w:tc>
        <w:tc>
          <w:tcPr>
            <w:tcW w:w="891" w:type="dxa"/>
            <w:tcBorders>
              <w:top w:val="nil"/>
              <w:left w:val="nil"/>
              <w:bottom w:val="single" w:sz="6" w:space="0" w:color="auto"/>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color w:val="000000"/>
              </w:rPr>
              <w:t>просек</w:t>
            </w:r>
          </w:p>
        </w:tc>
        <w:tc>
          <w:tcPr>
            <w:tcW w:w="961" w:type="dxa"/>
            <w:tcBorders>
              <w:top w:val="nil"/>
              <w:left w:val="nil"/>
              <w:bottom w:val="single" w:sz="6" w:space="0" w:color="auto"/>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p>
        </w:tc>
        <w:tc>
          <w:tcPr>
            <w:tcW w:w="1023" w:type="dxa"/>
            <w:tcBorders>
              <w:top w:val="nil"/>
              <w:left w:val="nil"/>
              <w:bottom w:val="single" w:sz="6" w:space="0" w:color="auto"/>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p>
        </w:tc>
        <w:tc>
          <w:tcPr>
            <w:tcW w:w="976" w:type="dxa"/>
            <w:tcBorders>
              <w:top w:val="nil"/>
              <w:left w:val="nil"/>
              <w:bottom w:val="single" w:sz="6" w:space="0" w:color="auto"/>
              <w:right w:val="single" w:sz="6" w:space="0" w:color="auto"/>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p>
        </w:tc>
      </w:tr>
      <w:tr w:rsidR="009768C4" w:rsidRPr="009C5D97" w:rsidTr="00A661C4">
        <w:trPr>
          <w:trHeight w:val="451"/>
        </w:trPr>
        <w:tc>
          <w:tcPr>
            <w:tcW w:w="5630" w:type="dxa"/>
            <w:tcBorders>
              <w:top w:val="single" w:sz="6" w:space="0" w:color="auto"/>
              <w:left w:val="single" w:sz="6" w:space="0" w:color="auto"/>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b/>
                <w:bCs/>
                <w:color w:val="000000"/>
              </w:rPr>
              <w:t>БДП по жител</w:t>
            </w:r>
            <w:r w:rsidRPr="009C5D97">
              <w:rPr>
                <w:rFonts w:ascii="Times New Roman" w:hAnsi="Times New Roman"/>
                <w:color w:val="000000"/>
              </w:rPr>
              <w:t xml:space="preserve"> (% од ЕУ-27 во процентни поени)</w:t>
            </w:r>
            <w:r w:rsidRPr="009C5D97">
              <w:rPr>
                <w:rFonts w:ascii="Times New Roman" w:hAnsi="Times New Roman"/>
                <w:color w:val="000000"/>
                <w:vertAlign w:val="superscript"/>
              </w:rPr>
              <w:t>1)</w:t>
            </w:r>
          </w:p>
        </w:tc>
        <w:tc>
          <w:tcPr>
            <w:tcW w:w="891" w:type="dxa"/>
            <w:tcBorders>
              <w:top w:val="single" w:sz="6" w:space="0" w:color="auto"/>
              <w:left w:val="nil"/>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color w:val="000000"/>
              </w:rPr>
              <w:t>37</w:t>
            </w:r>
          </w:p>
        </w:tc>
        <w:tc>
          <w:tcPr>
            <w:tcW w:w="961" w:type="dxa"/>
            <w:tcBorders>
              <w:top w:val="single" w:sz="6" w:space="0" w:color="auto"/>
              <w:left w:val="nil"/>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color w:val="000000"/>
              </w:rPr>
              <w:t>38</w:t>
            </w:r>
          </w:p>
        </w:tc>
        <w:tc>
          <w:tcPr>
            <w:tcW w:w="1023" w:type="dxa"/>
            <w:tcBorders>
              <w:top w:val="single" w:sz="6" w:space="0" w:color="auto"/>
              <w:left w:val="nil"/>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color w:val="000000"/>
              </w:rPr>
              <w:t>42</w:t>
            </w:r>
          </w:p>
        </w:tc>
        <w:tc>
          <w:tcPr>
            <w:tcW w:w="976" w:type="dxa"/>
            <w:tcBorders>
              <w:top w:val="single" w:sz="6" w:space="0" w:color="auto"/>
              <w:left w:val="nil"/>
              <w:bottom w:val="nil"/>
              <w:right w:val="single" w:sz="6" w:space="0" w:color="auto"/>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color w:val="000000"/>
              </w:rPr>
              <w:t>42</w:t>
            </w:r>
          </w:p>
        </w:tc>
      </w:tr>
      <w:tr w:rsidR="009768C4" w:rsidRPr="009C5D97" w:rsidTr="00A661C4">
        <w:trPr>
          <w:trHeight w:val="278"/>
        </w:trPr>
        <w:tc>
          <w:tcPr>
            <w:tcW w:w="5630" w:type="dxa"/>
            <w:tcBorders>
              <w:top w:val="nil"/>
              <w:left w:val="single" w:sz="6" w:space="0" w:color="auto"/>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b/>
                <w:bCs/>
                <w:color w:val="000000"/>
              </w:rPr>
              <w:t>Реален раст на БДП</w:t>
            </w:r>
          </w:p>
        </w:tc>
        <w:tc>
          <w:tcPr>
            <w:tcW w:w="891" w:type="dxa"/>
            <w:tcBorders>
              <w:top w:val="nil"/>
              <w:left w:val="nil"/>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color w:val="000000"/>
              </w:rPr>
              <w:t>3,0</w:t>
            </w:r>
          </w:p>
        </w:tc>
        <w:tc>
          <w:tcPr>
            <w:tcW w:w="961" w:type="dxa"/>
            <w:tcBorders>
              <w:top w:val="nil"/>
              <w:left w:val="nil"/>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color w:val="000000"/>
              </w:rPr>
              <w:t>-4,7</w:t>
            </w:r>
          </w:p>
        </w:tc>
        <w:tc>
          <w:tcPr>
            <w:tcW w:w="1023" w:type="dxa"/>
            <w:tcBorders>
              <w:top w:val="nil"/>
              <w:left w:val="nil"/>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color w:val="000000"/>
              </w:rPr>
              <w:t>3,9</w:t>
            </w:r>
          </w:p>
        </w:tc>
        <w:tc>
          <w:tcPr>
            <w:tcW w:w="976" w:type="dxa"/>
            <w:tcBorders>
              <w:top w:val="nil"/>
              <w:left w:val="nil"/>
              <w:bottom w:val="nil"/>
              <w:right w:val="single" w:sz="6" w:space="0" w:color="auto"/>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color w:val="000000"/>
              </w:rPr>
              <w:t>2,1</w:t>
            </w:r>
          </w:p>
        </w:tc>
      </w:tr>
      <w:tr w:rsidR="009768C4" w:rsidRPr="009C5D97" w:rsidTr="00A661C4">
        <w:trPr>
          <w:trHeight w:val="269"/>
        </w:trPr>
        <w:tc>
          <w:tcPr>
            <w:tcW w:w="5630" w:type="dxa"/>
            <w:tcBorders>
              <w:top w:val="nil"/>
              <w:left w:val="single" w:sz="6" w:space="0" w:color="auto"/>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b/>
                <w:bCs/>
                <w:color w:val="000000"/>
              </w:rPr>
              <w:t xml:space="preserve">Стапка на економска активност на населението на возраст 15-64 години </w:t>
            </w:r>
            <w:r w:rsidRPr="009C5D97">
              <w:rPr>
                <w:rFonts w:ascii="Times New Roman" w:hAnsi="Times New Roman"/>
                <w:color w:val="000000"/>
              </w:rPr>
              <w:t>(%), вкупно</w:t>
            </w:r>
          </w:p>
        </w:tc>
        <w:tc>
          <w:tcPr>
            <w:tcW w:w="891" w:type="dxa"/>
            <w:tcBorders>
              <w:top w:val="nil"/>
              <w:left w:val="nil"/>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color w:val="000000"/>
              </w:rPr>
              <w:t>65,3</w:t>
            </w:r>
          </w:p>
        </w:tc>
        <w:tc>
          <w:tcPr>
            <w:tcW w:w="961" w:type="dxa"/>
            <w:tcBorders>
              <w:top w:val="nil"/>
              <w:left w:val="nil"/>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color w:val="000000"/>
              </w:rPr>
              <w:t>65,5</w:t>
            </w:r>
          </w:p>
        </w:tc>
        <w:tc>
          <w:tcPr>
            <w:tcW w:w="1023" w:type="dxa"/>
            <w:tcBorders>
              <w:top w:val="nil"/>
              <w:left w:val="nil"/>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color w:val="000000"/>
              </w:rPr>
              <w:t>66,8</w:t>
            </w:r>
          </w:p>
        </w:tc>
        <w:tc>
          <w:tcPr>
            <w:tcW w:w="976" w:type="dxa"/>
            <w:tcBorders>
              <w:top w:val="nil"/>
              <w:left w:val="nil"/>
              <w:bottom w:val="nil"/>
              <w:right w:val="single" w:sz="6" w:space="0" w:color="auto"/>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color w:val="000000"/>
              </w:rPr>
              <w:t>66,4</w:t>
            </w:r>
          </w:p>
        </w:tc>
      </w:tr>
      <w:tr w:rsidR="009768C4" w:rsidRPr="009C5D97" w:rsidTr="00A661C4">
        <w:trPr>
          <w:trHeight w:val="250"/>
        </w:trPr>
        <w:tc>
          <w:tcPr>
            <w:tcW w:w="5630" w:type="dxa"/>
            <w:tcBorders>
              <w:top w:val="nil"/>
              <w:left w:val="single" w:sz="6" w:space="0" w:color="auto"/>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i/>
                <w:iCs/>
                <w:color w:val="000000"/>
              </w:rPr>
              <w:t>жени</w:t>
            </w:r>
          </w:p>
        </w:tc>
        <w:tc>
          <w:tcPr>
            <w:tcW w:w="891" w:type="dxa"/>
            <w:tcBorders>
              <w:top w:val="nil"/>
              <w:left w:val="nil"/>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i/>
                <w:iCs/>
                <w:color w:val="000000"/>
              </w:rPr>
              <w:t>52,3</w:t>
            </w:r>
          </w:p>
        </w:tc>
        <w:tc>
          <w:tcPr>
            <w:tcW w:w="961" w:type="dxa"/>
            <w:tcBorders>
              <w:top w:val="nil"/>
              <w:left w:val="nil"/>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i/>
                <w:iCs/>
                <w:color w:val="000000"/>
              </w:rPr>
              <w:t>54,0</w:t>
            </w:r>
          </w:p>
        </w:tc>
        <w:tc>
          <w:tcPr>
            <w:tcW w:w="1023" w:type="dxa"/>
            <w:tcBorders>
              <w:top w:val="nil"/>
              <w:left w:val="nil"/>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i/>
                <w:iCs/>
                <w:color w:val="000000"/>
              </w:rPr>
              <w:t>55,1</w:t>
            </w:r>
          </w:p>
        </w:tc>
        <w:tc>
          <w:tcPr>
            <w:tcW w:w="976" w:type="dxa"/>
            <w:tcBorders>
              <w:top w:val="nil"/>
              <w:left w:val="nil"/>
              <w:bottom w:val="nil"/>
              <w:right w:val="single" w:sz="6" w:space="0" w:color="auto"/>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i/>
                <w:iCs/>
                <w:color w:val="000000"/>
              </w:rPr>
              <w:t>54,3</w:t>
            </w:r>
          </w:p>
        </w:tc>
      </w:tr>
      <w:tr w:rsidR="009768C4" w:rsidRPr="009C5D97" w:rsidTr="00A661C4">
        <w:trPr>
          <w:trHeight w:val="288"/>
        </w:trPr>
        <w:tc>
          <w:tcPr>
            <w:tcW w:w="5630" w:type="dxa"/>
            <w:tcBorders>
              <w:top w:val="nil"/>
              <w:left w:val="single" w:sz="6" w:space="0" w:color="auto"/>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i/>
                <w:iCs/>
                <w:color w:val="000000"/>
              </w:rPr>
              <w:t>мажи</w:t>
            </w:r>
          </w:p>
        </w:tc>
        <w:tc>
          <w:tcPr>
            <w:tcW w:w="891" w:type="dxa"/>
            <w:tcBorders>
              <w:top w:val="nil"/>
              <w:left w:val="nil"/>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i/>
                <w:iCs/>
                <w:color w:val="000000"/>
              </w:rPr>
              <w:t>77,8</w:t>
            </w:r>
          </w:p>
        </w:tc>
        <w:tc>
          <w:tcPr>
            <w:tcW w:w="961" w:type="dxa"/>
            <w:tcBorders>
              <w:top w:val="nil"/>
              <w:left w:val="nil"/>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i/>
                <w:iCs/>
                <w:color w:val="000000"/>
              </w:rPr>
              <w:t>76,7</w:t>
            </w:r>
          </w:p>
        </w:tc>
        <w:tc>
          <w:tcPr>
            <w:tcW w:w="1023" w:type="dxa"/>
            <w:tcBorders>
              <w:top w:val="nil"/>
              <w:left w:val="nil"/>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i/>
                <w:iCs/>
                <w:color w:val="000000"/>
              </w:rPr>
              <w:t>78,4</w:t>
            </w:r>
          </w:p>
        </w:tc>
        <w:tc>
          <w:tcPr>
            <w:tcW w:w="976" w:type="dxa"/>
            <w:tcBorders>
              <w:top w:val="nil"/>
              <w:left w:val="nil"/>
              <w:bottom w:val="nil"/>
              <w:right w:val="single" w:sz="6" w:space="0" w:color="auto"/>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i/>
                <w:iCs/>
                <w:color w:val="000000"/>
              </w:rPr>
              <w:t>78,4</w:t>
            </w:r>
          </w:p>
        </w:tc>
      </w:tr>
      <w:tr w:rsidR="009768C4" w:rsidRPr="009C5D97" w:rsidTr="00A661C4">
        <w:trPr>
          <w:trHeight w:val="298"/>
        </w:trPr>
        <w:tc>
          <w:tcPr>
            <w:tcW w:w="5630" w:type="dxa"/>
            <w:tcBorders>
              <w:top w:val="nil"/>
              <w:left w:val="single" w:sz="6" w:space="0" w:color="auto"/>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b/>
                <w:bCs/>
                <w:color w:val="000000"/>
              </w:rPr>
              <w:t xml:space="preserve">Стапка на невработеност на населението на возраст 15-64 години </w:t>
            </w:r>
            <w:r w:rsidRPr="009C5D97">
              <w:rPr>
                <w:rFonts w:ascii="Times New Roman" w:hAnsi="Times New Roman"/>
                <w:color w:val="000000"/>
              </w:rPr>
              <w:t>(%), вкупно</w:t>
            </w:r>
            <w:r w:rsidRPr="009C5D97">
              <w:rPr>
                <w:rFonts w:ascii="Times New Roman" w:hAnsi="Times New Roman"/>
                <w:b/>
                <w:bCs/>
                <w:color w:val="000000"/>
                <w:vertAlign w:val="superscript"/>
              </w:rPr>
              <w:t>2)</w:t>
            </w:r>
          </w:p>
        </w:tc>
        <w:tc>
          <w:tcPr>
            <w:tcW w:w="891" w:type="dxa"/>
            <w:tcBorders>
              <w:top w:val="nil"/>
              <w:left w:val="nil"/>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color w:val="000000"/>
              </w:rPr>
              <w:t>23,2</w:t>
            </w:r>
          </w:p>
        </w:tc>
        <w:tc>
          <w:tcPr>
            <w:tcW w:w="961" w:type="dxa"/>
            <w:tcBorders>
              <w:top w:val="nil"/>
              <w:left w:val="nil"/>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color w:val="000000"/>
              </w:rPr>
              <w:t>16,6</w:t>
            </w:r>
          </w:p>
        </w:tc>
        <w:tc>
          <w:tcPr>
            <w:tcW w:w="1023" w:type="dxa"/>
            <w:tcBorders>
              <w:top w:val="nil"/>
              <w:left w:val="nil"/>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color w:val="000000"/>
              </w:rPr>
              <w:t>15,8</w:t>
            </w:r>
          </w:p>
        </w:tc>
        <w:tc>
          <w:tcPr>
            <w:tcW w:w="976" w:type="dxa"/>
            <w:tcBorders>
              <w:top w:val="nil"/>
              <w:left w:val="nil"/>
              <w:bottom w:val="nil"/>
              <w:right w:val="single" w:sz="6" w:space="0" w:color="auto"/>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color w:val="000000"/>
              </w:rPr>
              <w:t>14,5</w:t>
            </w:r>
          </w:p>
        </w:tc>
      </w:tr>
      <w:tr w:rsidR="009768C4" w:rsidRPr="009C5D97" w:rsidTr="00A661C4">
        <w:trPr>
          <w:trHeight w:val="250"/>
        </w:trPr>
        <w:tc>
          <w:tcPr>
            <w:tcW w:w="5630" w:type="dxa"/>
            <w:tcBorders>
              <w:top w:val="nil"/>
              <w:left w:val="single" w:sz="6" w:space="0" w:color="auto"/>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i/>
                <w:iCs/>
                <w:color w:val="000000"/>
              </w:rPr>
              <w:t>жени</w:t>
            </w:r>
          </w:p>
        </w:tc>
        <w:tc>
          <w:tcPr>
            <w:tcW w:w="891" w:type="dxa"/>
            <w:tcBorders>
              <w:top w:val="nil"/>
              <w:left w:val="nil"/>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i/>
                <w:iCs/>
                <w:color w:val="000000"/>
              </w:rPr>
              <w:t>22,9</w:t>
            </w:r>
          </w:p>
        </w:tc>
        <w:tc>
          <w:tcPr>
            <w:tcW w:w="961" w:type="dxa"/>
            <w:tcBorders>
              <w:top w:val="nil"/>
              <w:left w:val="nil"/>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i/>
                <w:iCs/>
                <w:color w:val="000000"/>
              </w:rPr>
              <w:t>16,1</w:t>
            </w:r>
          </w:p>
        </w:tc>
        <w:tc>
          <w:tcPr>
            <w:tcW w:w="1023" w:type="dxa"/>
            <w:tcBorders>
              <w:top w:val="nil"/>
              <w:left w:val="nil"/>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i/>
                <w:iCs/>
                <w:color w:val="000000"/>
              </w:rPr>
              <w:t>13,8</w:t>
            </w:r>
          </w:p>
        </w:tc>
        <w:tc>
          <w:tcPr>
            <w:tcW w:w="976" w:type="dxa"/>
            <w:tcBorders>
              <w:top w:val="nil"/>
              <w:left w:val="nil"/>
              <w:bottom w:val="nil"/>
              <w:right w:val="single" w:sz="6" w:space="0" w:color="auto"/>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i/>
                <w:iCs/>
                <w:color w:val="000000"/>
              </w:rPr>
              <w:t>12,6</w:t>
            </w:r>
          </w:p>
        </w:tc>
      </w:tr>
      <w:tr w:rsidR="009768C4" w:rsidRPr="009C5D97" w:rsidTr="00A661C4">
        <w:trPr>
          <w:trHeight w:val="283"/>
        </w:trPr>
        <w:tc>
          <w:tcPr>
            <w:tcW w:w="5630" w:type="dxa"/>
            <w:tcBorders>
              <w:top w:val="nil"/>
              <w:left w:val="single" w:sz="6" w:space="0" w:color="auto"/>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i/>
                <w:iCs/>
                <w:color w:val="000000"/>
              </w:rPr>
              <w:t>мажи</w:t>
            </w:r>
          </w:p>
        </w:tc>
        <w:tc>
          <w:tcPr>
            <w:tcW w:w="891" w:type="dxa"/>
            <w:tcBorders>
              <w:top w:val="nil"/>
              <w:left w:val="nil"/>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i/>
                <w:iCs/>
                <w:color w:val="000000"/>
              </w:rPr>
              <w:t>23,4</w:t>
            </w:r>
          </w:p>
        </w:tc>
        <w:tc>
          <w:tcPr>
            <w:tcW w:w="961" w:type="dxa"/>
            <w:tcBorders>
              <w:top w:val="nil"/>
              <w:left w:val="nil"/>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i/>
                <w:iCs/>
                <w:color w:val="000000"/>
              </w:rPr>
              <w:t>16,9</w:t>
            </w:r>
          </w:p>
        </w:tc>
        <w:tc>
          <w:tcPr>
            <w:tcW w:w="1023" w:type="dxa"/>
            <w:tcBorders>
              <w:top w:val="nil"/>
              <w:left w:val="nil"/>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i/>
                <w:iCs/>
                <w:color w:val="000000"/>
              </w:rPr>
              <w:t>16,9</w:t>
            </w:r>
          </w:p>
        </w:tc>
        <w:tc>
          <w:tcPr>
            <w:tcW w:w="976" w:type="dxa"/>
            <w:tcBorders>
              <w:top w:val="nil"/>
              <w:left w:val="nil"/>
              <w:bottom w:val="nil"/>
              <w:right w:val="single" w:sz="6" w:space="0" w:color="auto"/>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i/>
                <w:iCs/>
                <w:color w:val="000000"/>
              </w:rPr>
              <w:t>15,9</w:t>
            </w:r>
          </w:p>
        </w:tc>
      </w:tr>
      <w:tr w:rsidR="009768C4" w:rsidRPr="009C5D97" w:rsidTr="00A661C4">
        <w:trPr>
          <w:trHeight w:val="307"/>
        </w:trPr>
        <w:tc>
          <w:tcPr>
            <w:tcW w:w="5630" w:type="dxa"/>
            <w:tcBorders>
              <w:top w:val="nil"/>
              <w:left w:val="single" w:sz="6" w:space="0" w:color="auto"/>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b/>
                <w:bCs/>
                <w:color w:val="000000"/>
              </w:rPr>
              <w:t>Вработеност на населението на возраст 15-64 годин</w:t>
            </w:r>
            <w:r>
              <w:rPr>
                <w:rFonts w:ascii="Times New Roman" w:hAnsi="Times New Roman"/>
                <w:b/>
                <w:bCs/>
                <w:color w:val="000000"/>
              </w:rPr>
              <w:t>и</w:t>
            </w:r>
            <w:r w:rsidRPr="009C5D97">
              <w:rPr>
                <w:rFonts w:ascii="Times New Roman" w:hAnsi="Times New Roman"/>
                <w:b/>
                <w:bCs/>
                <w:color w:val="000000"/>
              </w:rPr>
              <w:t xml:space="preserve"> </w:t>
            </w:r>
            <w:r w:rsidRPr="009C5D97">
              <w:rPr>
                <w:rFonts w:ascii="Times New Roman" w:hAnsi="Times New Roman"/>
                <w:color w:val="000000"/>
              </w:rPr>
              <w:t>(годишен раст % )</w:t>
            </w:r>
            <w:r w:rsidRPr="009C5D97">
              <w:rPr>
                <w:rFonts w:ascii="Times New Roman" w:hAnsi="Times New Roman"/>
                <w:b/>
                <w:bCs/>
                <w:color w:val="000000"/>
                <w:vertAlign w:val="superscript"/>
              </w:rPr>
              <w:t>2)</w:t>
            </w:r>
          </w:p>
        </w:tc>
        <w:tc>
          <w:tcPr>
            <w:tcW w:w="891" w:type="dxa"/>
            <w:tcBorders>
              <w:top w:val="nil"/>
              <w:left w:val="nil"/>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color w:val="000000"/>
              </w:rPr>
              <w:t>2,7</w:t>
            </w:r>
          </w:p>
        </w:tc>
        <w:tc>
          <w:tcPr>
            <w:tcW w:w="961" w:type="dxa"/>
            <w:tcBorders>
              <w:top w:val="nil"/>
              <w:left w:val="nil"/>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color w:val="000000"/>
              </w:rPr>
              <w:t>-0,5</w:t>
            </w:r>
          </w:p>
        </w:tc>
        <w:tc>
          <w:tcPr>
            <w:tcW w:w="1023" w:type="dxa"/>
            <w:tcBorders>
              <w:top w:val="nil"/>
              <w:left w:val="nil"/>
              <w:bottom w:val="nil"/>
              <w:right w:val="nil"/>
            </w:tcBorders>
            <w:shd w:val="clear" w:color="auto" w:fill="FFFFFF"/>
          </w:tcPr>
          <w:p w:rsidR="009768C4" w:rsidRPr="009C5D97" w:rsidRDefault="009768C4" w:rsidP="00A661C4">
            <w:pPr>
              <w:shd w:val="clear" w:color="auto" w:fill="FFFFFF"/>
              <w:spacing w:after="0" w:line="240" w:lineRule="auto"/>
              <w:rPr>
                <w:rFonts w:ascii="Times New Roman" w:hAnsi="Times New Roman"/>
                <w:sz w:val="24"/>
                <w:szCs w:val="24"/>
              </w:rPr>
            </w:pPr>
            <w:r w:rsidRPr="009C5D97">
              <w:rPr>
                <w:rFonts w:ascii="Times New Roman" w:hAnsi="Times New Roman"/>
                <w:color w:val="000000"/>
              </w:rPr>
              <w:t>не е достапно</w:t>
            </w:r>
          </w:p>
        </w:tc>
        <w:tc>
          <w:tcPr>
            <w:tcW w:w="976" w:type="dxa"/>
            <w:tcBorders>
              <w:top w:val="nil"/>
              <w:left w:val="nil"/>
              <w:bottom w:val="nil"/>
              <w:right w:val="single" w:sz="6" w:space="0" w:color="auto"/>
            </w:tcBorders>
            <w:shd w:val="clear" w:color="auto" w:fill="FFFFFF"/>
          </w:tcPr>
          <w:p w:rsidR="009768C4" w:rsidRPr="009C5D97" w:rsidRDefault="009768C4" w:rsidP="00A661C4">
            <w:pPr>
              <w:shd w:val="clear" w:color="auto" w:fill="FFFFFF"/>
              <w:spacing w:after="0" w:line="240" w:lineRule="auto"/>
              <w:rPr>
                <w:rFonts w:ascii="Times New Roman" w:hAnsi="Times New Roman"/>
                <w:sz w:val="24"/>
                <w:szCs w:val="24"/>
              </w:rPr>
            </w:pPr>
            <w:r w:rsidRPr="009C5D97">
              <w:rPr>
                <w:rFonts w:ascii="Times New Roman" w:hAnsi="Times New Roman"/>
                <w:color w:val="000000"/>
              </w:rPr>
              <w:t>не е достапно</w:t>
            </w:r>
          </w:p>
        </w:tc>
      </w:tr>
      <w:tr w:rsidR="009768C4" w:rsidRPr="009C5D97" w:rsidTr="00A661C4">
        <w:trPr>
          <w:trHeight w:val="278"/>
        </w:trPr>
        <w:tc>
          <w:tcPr>
            <w:tcW w:w="5630" w:type="dxa"/>
            <w:tcBorders>
              <w:top w:val="nil"/>
              <w:left w:val="single" w:sz="6" w:space="0" w:color="auto"/>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b/>
                <w:bCs/>
                <w:color w:val="000000"/>
              </w:rPr>
              <w:t xml:space="preserve">Номинални плати </w:t>
            </w:r>
            <w:r w:rsidRPr="009C5D97">
              <w:rPr>
                <w:rFonts w:ascii="Times New Roman" w:hAnsi="Times New Roman"/>
                <w:color w:val="000000"/>
              </w:rPr>
              <w:t>(годишен раст %)</w:t>
            </w:r>
          </w:p>
        </w:tc>
        <w:tc>
          <w:tcPr>
            <w:tcW w:w="891" w:type="dxa"/>
            <w:tcBorders>
              <w:top w:val="nil"/>
              <w:left w:val="nil"/>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color w:val="000000"/>
              </w:rPr>
              <w:t>3,2</w:t>
            </w:r>
          </w:p>
        </w:tc>
        <w:tc>
          <w:tcPr>
            <w:tcW w:w="961" w:type="dxa"/>
            <w:tcBorders>
              <w:top w:val="nil"/>
              <w:left w:val="nil"/>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color w:val="000000"/>
              </w:rPr>
              <w:t>8,3</w:t>
            </w:r>
          </w:p>
        </w:tc>
        <w:tc>
          <w:tcPr>
            <w:tcW w:w="1023" w:type="dxa"/>
            <w:tcBorders>
              <w:top w:val="nil"/>
              <w:left w:val="nil"/>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color w:val="000000"/>
              </w:rPr>
              <w:t>5,7</w:t>
            </w:r>
          </w:p>
        </w:tc>
        <w:tc>
          <w:tcPr>
            <w:tcW w:w="976" w:type="dxa"/>
            <w:tcBorders>
              <w:top w:val="nil"/>
              <w:left w:val="nil"/>
              <w:bottom w:val="nil"/>
              <w:right w:val="single" w:sz="6" w:space="0" w:color="auto"/>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color w:val="000000"/>
              </w:rPr>
              <w:t>11,1</w:t>
            </w:r>
          </w:p>
        </w:tc>
      </w:tr>
      <w:tr w:rsidR="009768C4" w:rsidRPr="009C5D97" w:rsidTr="00A661C4">
        <w:trPr>
          <w:trHeight w:val="278"/>
        </w:trPr>
        <w:tc>
          <w:tcPr>
            <w:tcW w:w="5630" w:type="dxa"/>
            <w:tcBorders>
              <w:top w:val="nil"/>
              <w:left w:val="single" w:sz="6" w:space="0" w:color="auto"/>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b/>
                <w:bCs/>
                <w:color w:val="000000"/>
              </w:rPr>
              <w:t xml:space="preserve">Индекс на потрошувачки цени </w:t>
            </w:r>
            <w:r w:rsidRPr="009C5D97">
              <w:rPr>
                <w:rFonts w:ascii="Times New Roman" w:hAnsi="Times New Roman"/>
                <w:color w:val="000000"/>
              </w:rPr>
              <w:t>(годишен раст %)</w:t>
            </w:r>
          </w:p>
        </w:tc>
        <w:tc>
          <w:tcPr>
            <w:tcW w:w="891" w:type="dxa"/>
            <w:tcBorders>
              <w:top w:val="nil"/>
              <w:left w:val="nil"/>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color w:val="000000"/>
              </w:rPr>
              <w:t>0,5</w:t>
            </w:r>
          </w:p>
        </w:tc>
        <w:tc>
          <w:tcPr>
            <w:tcW w:w="961" w:type="dxa"/>
            <w:tcBorders>
              <w:top w:val="nil"/>
              <w:left w:val="nil"/>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color w:val="000000"/>
              </w:rPr>
              <w:t>1,2</w:t>
            </w:r>
          </w:p>
        </w:tc>
        <w:tc>
          <w:tcPr>
            <w:tcW w:w="1023" w:type="dxa"/>
            <w:tcBorders>
              <w:top w:val="nil"/>
              <w:left w:val="nil"/>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color w:val="000000"/>
              </w:rPr>
              <w:t>3,2</w:t>
            </w:r>
          </w:p>
        </w:tc>
        <w:tc>
          <w:tcPr>
            <w:tcW w:w="976" w:type="dxa"/>
            <w:tcBorders>
              <w:top w:val="nil"/>
              <w:left w:val="nil"/>
              <w:bottom w:val="nil"/>
              <w:right w:val="single" w:sz="6" w:space="0" w:color="auto"/>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color w:val="000000"/>
              </w:rPr>
              <w:t>14,1</w:t>
            </w:r>
          </w:p>
        </w:tc>
      </w:tr>
      <w:tr w:rsidR="009768C4" w:rsidRPr="009C5D97" w:rsidTr="00A661C4">
        <w:trPr>
          <w:trHeight w:val="274"/>
        </w:trPr>
        <w:tc>
          <w:tcPr>
            <w:tcW w:w="5630" w:type="dxa"/>
            <w:tcBorders>
              <w:top w:val="nil"/>
              <w:left w:val="single" w:sz="6" w:space="0" w:color="auto"/>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b/>
                <w:bCs/>
                <w:color w:val="000000"/>
              </w:rPr>
              <w:t>Девизен курс во однос на ЕУР</w:t>
            </w:r>
          </w:p>
        </w:tc>
        <w:tc>
          <w:tcPr>
            <w:tcW w:w="891" w:type="dxa"/>
            <w:tcBorders>
              <w:top w:val="nil"/>
              <w:left w:val="nil"/>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color w:val="000000"/>
              </w:rPr>
              <w:t>61,57</w:t>
            </w:r>
          </w:p>
        </w:tc>
        <w:tc>
          <w:tcPr>
            <w:tcW w:w="961" w:type="dxa"/>
            <w:tcBorders>
              <w:top w:val="nil"/>
              <w:left w:val="nil"/>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color w:val="000000"/>
              </w:rPr>
              <w:t>61,67</w:t>
            </w:r>
          </w:p>
        </w:tc>
        <w:tc>
          <w:tcPr>
            <w:tcW w:w="1023" w:type="dxa"/>
            <w:tcBorders>
              <w:top w:val="nil"/>
              <w:left w:val="nil"/>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color w:val="000000"/>
              </w:rPr>
              <w:t>61,63</w:t>
            </w:r>
          </w:p>
        </w:tc>
        <w:tc>
          <w:tcPr>
            <w:tcW w:w="976" w:type="dxa"/>
            <w:tcBorders>
              <w:top w:val="nil"/>
              <w:left w:val="nil"/>
              <w:bottom w:val="nil"/>
              <w:right w:val="single" w:sz="6" w:space="0" w:color="auto"/>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color w:val="000000"/>
              </w:rPr>
              <w:t>61,62</w:t>
            </w:r>
          </w:p>
        </w:tc>
      </w:tr>
      <w:tr w:rsidR="009768C4" w:rsidRPr="009C5D97" w:rsidTr="00A661C4">
        <w:trPr>
          <w:trHeight w:val="283"/>
        </w:trPr>
        <w:tc>
          <w:tcPr>
            <w:tcW w:w="5630" w:type="dxa"/>
            <w:tcBorders>
              <w:top w:val="nil"/>
              <w:left w:val="single" w:sz="6" w:space="0" w:color="auto"/>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b/>
                <w:bCs/>
                <w:color w:val="000000"/>
              </w:rPr>
              <w:t xml:space="preserve">Салдо на тековната сметка </w:t>
            </w:r>
            <w:r w:rsidRPr="009C5D97">
              <w:rPr>
                <w:rFonts w:ascii="Times New Roman" w:hAnsi="Times New Roman"/>
                <w:color w:val="000000"/>
              </w:rPr>
              <w:t>(% од БДП)</w:t>
            </w:r>
          </w:p>
        </w:tc>
        <w:tc>
          <w:tcPr>
            <w:tcW w:w="891" w:type="dxa"/>
            <w:tcBorders>
              <w:top w:val="nil"/>
              <w:left w:val="nil"/>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color w:val="000000"/>
              </w:rPr>
              <w:t>-1,4</w:t>
            </w:r>
          </w:p>
        </w:tc>
        <w:tc>
          <w:tcPr>
            <w:tcW w:w="961" w:type="dxa"/>
            <w:tcBorders>
              <w:top w:val="nil"/>
              <w:left w:val="nil"/>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color w:val="000000"/>
              </w:rPr>
              <w:t>-2,9</w:t>
            </w:r>
          </w:p>
        </w:tc>
        <w:tc>
          <w:tcPr>
            <w:tcW w:w="1023" w:type="dxa"/>
            <w:tcBorders>
              <w:top w:val="nil"/>
              <w:left w:val="nil"/>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color w:val="000000"/>
              </w:rPr>
              <w:t>-3,1</w:t>
            </w:r>
          </w:p>
        </w:tc>
        <w:tc>
          <w:tcPr>
            <w:tcW w:w="976" w:type="dxa"/>
            <w:tcBorders>
              <w:top w:val="nil"/>
              <w:left w:val="nil"/>
              <w:bottom w:val="nil"/>
              <w:right w:val="single" w:sz="6" w:space="0" w:color="auto"/>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color w:val="000000"/>
              </w:rPr>
              <w:t>-6,0</w:t>
            </w:r>
          </w:p>
        </w:tc>
      </w:tr>
      <w:tr w:rsidR="009768C4" w:rsidRPr="009C5D97" w:rsidTr="00A661C4">
        <w:trPr>
          <w:trHeight w:val="278"/>
        </w:trPr>
        <w:tc>
          <w:tcPr>
            <w:tcW w:w="5630" w:type="dxa"/>
            <w:tcBorders>
              <w:top w:val="nil"/>
              <w:left w:val="single" w:sz="6" w:space="0" w:color="auto"/>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b/>
                <w:bCs/>
                <w:color w:val="000000"/>
              </w:rPr>
              <w:t>Нето</w:t>
            </w:r>
            <w:r w:rsidRPr="009768C4">
              <w:rPr>
                <w:rFonts w:ascii="Times New Roman" w:hAnsi="Times New Roman"/>
                <w:b/>
                <w:bCs/>
                <w:color w:val="000000"/>
                <w:lang w:val="ru-RU"/>
              </w:rPr>
              <w:t>-</w:t>
            </w:r>
            <w:r w:rsidRPr="009C5D97">
              <w:rPr>
                <w:rFonts w:ascii="Times New Roman" w:hAnsi="Times New Roman"/>
                <w:b/>
                <w:bCs/>
                <w:color w:val="000000"/>
              </w:rPr>
              <w:t xml:space="preserve">странски директни инвестиции, СДИ </w:t>
            </w:r>
            <w:r w:rsidRPr="009C5D97">
              <w:rPr>
                <w:rFonts w:ascii="Times New Roman" w:hAnsi="Times New Roman"/>
                <w:color w:val="000000"/>
              </w:rPr>
              <w:t>(% од БДП)</w:t>
            </w:r>
          </w:p>
        </w:tc>
        <w:tc>
          <w:tcPr>
            <w:tcW w:w="891" w:type="dxa"/>
            <w:tcBorders>
              <w:top w:val="nil"/>
              <w:left w:val="nil"/>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color w:val="000000"/>
              </w:rPr>
              <w:t>3,1</w:t>
            </w:r>
          </w:p>
        </w:tc>
        <w:tc>
          <w:tcPr>
            <w:tcW w:w="961" w:type="dxa"/>
            <w:tcBorders>
              <w:top w:val="nil"/>
              <w:left w:val="nil"/>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color w:val="000000"/>
              </w:rPr>
              <w:t>1,4</w:t>
            </w:r>
          </w:p>
        </w:tc>
        <w:tc>
          <w:tcPr>
            <w:tcW w:w="1023" w:type="dxa"/>
            <w:tcBorders>
              <w:top w:val="nil"/>
              <w:left w:val="nil"/>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color w:val="000000"/>
              </w:rPr>
              <w:t>3,3</w:t>
            </w:r>
          </w:p>
        </w:tc>
        <w:tc>
          <w:tcPr>
            <w:tcW w:w="976" w:type="dxa"/>
            <w:tcBorders>
              <w:top w:val="nil"/>
              <w:left w:val="nil"/>
              <w:bottom w:val="nil"/>
              <w:right w:val="single" w:sz="6" w:space="0" w:color="auto"/>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color w:val="000000"/>
              </w:rPr>
              <w:t>5,2</w:t>
            </w:r>
          </w:p>
        </w:tc>
      </w:tr>
      <w:tr w:rsidR="009768C4" w:rsidRPr="009C5D97" w:rsidTr="00A661C4">
        <w:trPr>
          <w:trHeight w:val="278"/>
        </w:trPr>
        <w:tc>
          <w:tcPr>
            <w:tcW w:w="5630" w:type="dxa"/>
            <w:tcBorders>
              <w:top w:val="nil"/>
              <w:left w:val="single" w:sz="6" w:space="0" w:color="auto"/>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b/>
                <w:bCs/>
                <w:color w:val="000000"/>
              </w:rPr>
              <w:t xml:space="preserve">Општ државен биланс </w:t>
            </w:r>
            <w:r w:rsidRPr="009C5D97">
              <w:rPr>
                <w:rFonts w:ascii="Times New Roman" w:hAnsi="Times New Roman"/>
                <w:color w:val="000000"/>
              </w:rPr>
              <w:t>(% од БДП)</w:t>
            </w:r>
          </w:p>
        </w:tc>
        <w:tc>
          <w:tcPr>
            <w:tcW w:w="891" w:type="dxa"/>
            <w:tcBorders>
              <w:top w:val="nil"/>
              <w:left w:val="nil"/>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color w:val="000000"/>
              </w:rPr>
              <w:t>-2,8</w:t>
            </w:r>
          </w:p>
        </w:tc>
        <w:tc>
          <w:tcPr>
            <w:tcW w:w="961" w:type="dxa"/>
            <w:tcBorders>
              <w:top w:val="nil"/>
              <w:left w:val="nil"/>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color w:val="000000"/>
              </w:rPr>
              <w:t>-8,0</w:t>
            </w:r>
          </w:p>
        </w:tc>
        <w:tc>
          <w:tcPr>
            <w:tcW w:w="1023" w:type="dxa"/>
            <w:tcBorders>
              <w:top w:val="nil"/>
              <w:left w:val="nil"/>
              <w:bottom w:val="nil"/>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color w:val="000000"/>
              </w:rPr>
              <w:t>-5,4</w:t>
            </w:r>
          </w:p>
        </w:tc>
        <w:tc>
          <w:tcPr>
            <w:tcW w:w="976" w:type="dxa"/>
            <w:tcBorders>
              <w:top w:val="nil"/>
              <w:left w:val="nil"/>
              <w:bottom w:val="nil"/>
              <w:right w:val="single" w:sz="6" w:space="0" w:color="auto"/>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color w:val="000000"/>
              </w:rPr>
              <w:t>-4,5</w:t>
            </w:r>
          </w:p>
        </w:tc>
      </w:tr>
      <w:tr w:rsidR="009768C4" w:rsidRPr="009C5D97" w:rsidTr="00A661C4">
        <w:trPr>
          <w:trHeight w:val="341"/>
        </w:trPr>
        <w:tc>
          <w:tcPr>
            <w:tcW w:w="5630" w:type="dxa"/>
            <w:tcBorders>
              <w:top w:val="nil"/>
              <w:left w:val="single" w:sz="6" w:space="0" w:color="auto"/>
              <w:bottom w:val="single" w:sz="6" w:space="0" w:color="auto"/>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b/>
                <w:bCs/>
                <w:color w:val="000000"/>
              </w:rPr>
              <w:t xml:space="preserve">Општ државен долг </w:t>
            </w:r>
            <w:r w:rsidRPr="009C5D97">
              <w:rPr>
                <w:rFonts w:ascii="Times New Roman" w:hAnsi="Times New Roman"/>
                <w:color w:val="000000"/>
              </w:rPr>
              <w:t>(% од БДП)</w:t>
            </w:r>
          </w:p>
        </w:tc>
        <w:tc>
          <w:tcPr>
            <w:tcW w:w="891" w:type="dxa"/>
            <w:tcBorders>
              <w:top w:val="nil"/>
              <w:left w:val="nil"/>
              <w:bottom w:val="single" w:sz="6" w:space="0" w:color="auto"/>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color w:val="000000"/>
              </w:rPr>
              <w:t>39,4</w:t>
            </w:r>
          </w:p>
        </w:tc>
        <w:tc>
          <w:tcPr>
            <w:tcW w:w="961" w:type="dxa"/>
            <w:tcBorders>
              <w:top w:val="nil"/>
              <w:left w:val="nil"/>
              <w:bottom w:val="single" w:sz="6" w:space="0" w:color="auto"/>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color w:val="000000"/>
              </w:rPr>
              <w:t>51,9</w:t>
            </w:r>
          </w:p>
        </w:tc>
        <w:tc>
          <w:tcPr>
            <w:tcW w:w="1023" w:type="dxa"/>
            <w:tcBorders>
              <w:top w:val="nil"/>
              <w:left w:val="nil"/>
              <w:bottom w:val="single" w:sz="6" w:space="0" w:color="auto"/>
              <w:right w:val="nil"/>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color w:val="000000"/>
              </w:rPr>
              <w:t>51,8</w:t>
            </w:r>
          </w:p>
        </w:tc>
        <w:tc>
          <w:tcPr>
            <w:tcW w:w="976" w:type="dxa"/>
            <w:tcBorders>
              <w:top w:val="nil"/>
              <w:left w:val="nil"/>
              <w:bottom w:val="single" w:sz="6" w:space="0" w:color="auto"/>
              <w:right w:val="single" w:sz="6" w:space="0" w:color="auto"/>
            </w:tcBorders>
            <w:shd w:val="clear" w:color="auto" w:fill="FFFFFF"/>
          </w:tcPr>
          <w:p w:rsidR="009768C4" w:rsidRPr="009C5D97" w:rsidRDefault="009768C4" w:rsidP="00A661C4">
            <w:pPr>
              <w:shd w:val="clear" w:color="auto" w:fill="FFFFFF"/>
              <w:spacing w:after="0" w:line="240" w:lineRule="auto"/>
              <w:jc w:val="both"/>
              <w:rPr>
                <w:rFonts w:ascii="Times New Roman" w:hAnsi="Times New Roman"/>
                <w:sz w:val="24"/>
                <w:szCs w:val="24"/>
              </w:rPr>
            </w:pPr>
            <w:r w:rsidRPr="009C5D97">
              <w:rPr>
                <w:rFonts w:ascii="Times New Roman" w:hAnsi="Times New Roman"/>
                <w:color w:val="000000"/>
              </w:rPr>
              <w:t>51,1</w:t>
            </w:r>
          </w:p>
        </w:tc>
      </w:tr>
    </w:tbl>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i/>
          <w:iCs/>
          <w:color w:val="000000"/>
          <w:u w:val="single"/>
        </w:rPr>
        <w:t>Забелешки</w:t>
      </w:r>
      <w:r w:rsidRPr="009C5D97">
        <w:rPr>
          <w:rFonts w:ascii="Times New Roman" w:hAnsi="Times New Roman"/>
          <w:i/>
          <w:iCs/>
          <w:color w:val="000000"/>
        </w:rPr>
        <w:t xml:space="preserve"> :</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i/>
          <w:iCs/>
          <w:color w:val="000000"/>
        </w:rPr>
        <w:t>1) Евростат</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i/>
          <w:iCs/>
          <w:color w:val="000000"/>
        </w:rPr>
        <w:t>2) Од првиот квартал во 2022</w:t>
      </w:r>
      <w:r>
        <w:rPr>
          <w:rFonts w:ascii="Times New Roman" w:hAnsi="Times New Roman"/>
          <w:i/>
          <w:iCs/>
          <w:color w:val="000000"/>
        </w:rPr>
        <w:t xml:space="preserve"> година</w:t>
      </w:r>
      <w:r w:rsidRPr="009C5D97">
        <w:rPr>
          <w:rFonts w:ascii="Times New Roman" w:hAnsi="Times New Roman"/>
          <w:i/>
          <w:iCs/>
          <w:color w:val="000000"/>
        </w:rPr>
        <w:t xml:space="preserve"> Анкетата за работна сила е заснована врз резултатите од </w:t>
      </w:r>
      <w:r>
        <w:rPr>
          <w:rFonts w:ascii="Times New Roman" w:hAnsi="Times New Roman"/>
          <w:i/>
          <w:iCs/>
          <w:color w:val="000000"/>
        </w:rPr>
        <w:t>П</w:t>
      </w:r>
      <w:r w:rsidRPr="009C5D97">
        <w:rPr>
          <w:rFonts w:ascii="Times New Roman" w:hAnsi="Times New Roman"/>
          <w:i/>
          <w:iCs/>
          <w:color w:val="000000"/>
        </w:rPr>
        <w:t>описот на населението од 2021 година</w:t>
      </w:r>
      <w:r>
        <w:rPr>
          <w:rFonts w:ascii="Times New Roman" w:hAnsi="Times New Roman"/>
          <w:i/>
          <w:iCs/>
          <w:color w:val="000000"/>
        </w:rPr>
        <w:t>,</w:t>
      </w:r>
      <w:r w:rsidRPr="009C5D97">
        <w:rPr>
          <w:rFonts w:ascii="Times New Roman" w:hAnsi="Times New Roman"/>
          <w:i/>
          <w:iCs/>
          <w:color w:val="000000"/>
        </w:rPr>
        <w:t xml:space="preserve"> со што се ограничува споредливоста со податоците од претходната година. Во првиот чекор Заводот за статистика неодамна ги ревидира</w:t>
      </w:r>
      <w:r>
        <w:rPr>
          <w:rFonts w:ascii="Times New Roman" w:hAnsi="Times New Roman"/>
          <w:i/>
          <w:iCs/>
          <w:color w:val="000000"/>
        </w:rPr>
        <w:t>л</w:t>
      </w:r>
      <w:r w:rsidR="00AF05B3">
        <w:rPr>
          <w:rFonts w:ascii="Times New Roman" w:hAnsi="Times New Roman"/>
          <w:i/>
          <w:iCs/>
          <w:color w:val="000000"/>
        </w:rPr>
        <w:t xml:space="preserve"> </w:t>
      </w:r>
      <w:r w:rsidRPr="009C5D97">
        <w:rPr>
          <w:rFonts w:ascii="Times New Roman" w:hAnsi="Times New Roman"/>
          <w:i/>
          <w:iCs/>
          <w:color w:val="000000"/>
        </w:rPr>
        <w:t xml:space="preserve">податоците од 2021 година врз основа на податоците од </w:t>
      </w:r>
      <w:r>
        <w:rPr>
          <w:rFonts w:ascii="Times New Roman" w:hAnsi="Times New Roman"/>
          <w:i/>
          <w:iCs/>
          <w:color w:val="000000"/>
        </w:rPr>
        <w:t>П</w:t>
      </w:r>
      <w:r w:rsidRPr="009C5D97">
        <w:rPr>
          <w:rFonts w:ascii="Times New Roman" w:hAnsi="Times New Roman"/>
          <w:i/>
          <w:iCs/>
          <w:color w:val="000000"/>
        </w:rPr>
        <w:t>описот.</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i/>
          <w:iCs/>
          <w:color w:val="000000"/>
        </w:rPr>
        <w:t>Извор: национални извори</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i/>
          <w:iCs/>
          <w:color w:val="000000"/>
          <w:sz w:val="24"/>
          <w:szCs w:val="24"/>
        </w:rPr>
        <w:t>Во согласност со заклучоците на Европскиот совет во Копенхаген во јуни 1993 година, пристапувањето во ЕУ налага постоење на функционална пазарна економија и капацитет за справување со конкурентскиот притисок и пазарните сили во Унијата.</w:t>
      </w:r>
    </w:p>
    <w:p w:rsidR="009768C4" w:rsidRPr="009C5D97" w:rsidRDefault="009768C4" w:rsidP="00A661C4">
      <w:pPr>
        <w:pStyle w:val="Heading2"/>
      </w:pPr>
      <w:bookmarkStart w:id="29" w:name="bookmark19"/>
      <w:bookmarkStart w:id="30" w:name="_Toc150864252"/>
      <w:r w:rsidRPr="009C5D97">
        <w:t>2</w:t>
      </w:r>
      <w:bookmarkEnd w:id="29"/>
      <w:r w:rsidRPr="009C5D97">
        <w:t>.3</w:t>
      </w:r>
      <w:r>
        <w:t>.</w:t>
      </w:r>
      <w:r w:rsidRPr="009C5D97">
        <w:t>1. Постоење функционална пазарна економија</w:t>
      </w:r>
      <w:bookmarkEnd w:id="30"/>
    </w:p>
    <w:p w:rsidR="009768C4" w:rsidRPr="009C5D97"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 xml:space="preserve">Северна Македонија постигна </w:t>
      </w:r>
      <w:r w:rsidRPr="009C5D97">
        <w:rPr>
          <w:rFonts w:ascii="Times New Roman" w:hAnsi="Times New Roman"/>
          <w:b/>
          <w:bCs/>
          <w:color w:val="000000"/>
          <w:sz w:val="24"/>
          <w:szCs w:val="24"/>
        </w:rPr>
        <w:t>одреден напредок</w:t>
      </w:r>
      <w:r w:rsidRPr="009C5D97">
        <w:rPr>
          <w:rFonts w:ascii="Times New Roman" w:hAnsi="Times New Roman"/>
          <w:color w:val="000000"/>
          <w:sz w:val="24"/>
          <w:szCs w:val="24"/>
        </w:rPr>
        <w:t xml:space="preserve"> и има </w:t>
      </w:r>
      <w:r w:rsidRPr="009C5D97">
        <w:rPr>
          <w:rFonts w:ascii="Times New Roman" w:hAnsi="Times New Roman"/>
          <w:b/>
          <w:bCs/>
          <w:color w:val="000000"/>
          <w:sz w:val="24"/>
          <w:szCs w:val="24"/>
        </w:rPr>
        <w:t>добро ниво на подготвеност</w:t>
      </w:r>
      <w:r w:rsidRPr="009C5D97">
        <w:rPr>
          <w:rFonts w:ascii="Times New Roman" w:hAnsi="Times New Roman"/>
          <w:color w:val="000000"/>
          <w:sz w:val="24"/>
          <w:szCs w:val="24"/>
        </w:rPr>
        <w:t xml:space="preserve"> при развојот на функционална пазарна економија. Во 2022 година економијата </w:t>
      </w:r>
      <w:r>
        <w:rPr>
          <w:rFonts w:ascii="Times New Roman" w:hAnsi="Times New Roman"/>
          <w:color w:val="000000"/>
          <w:sz w:val="24"/>
          <w:szCs w:val="24"/>
        </w:rPr>
        <w:t>е</w:t>
      </w:r>
      <w:r w:rsidRPr="009C5D97">
        <w:rPr>
          <w:rFonts w:ascii="Times New Roman" w:hAnsi="Times New Roman"/>
          <w:color w:val="000000"/>
          <w:sz w:val="24"/>
          <w:szCs w:val="24"/>
        </w:rPr>
        <w:t xml:space="preserve"> тешко погодена од последиците од руската воена агресија врз Украина, кои значително го забави</w:t>
      </w:r>
      <w:r>
        <w:rPr>
          <w:rFonts w:ascii="Times New Roman" w:hAnsi="Times New Roman"/>
          <w:color w:val="000000"/>
          <w:sz w:val="24"/>
          <w:szCs w:val="24"/>
        </w:rPr>
        <w:t>ја</w:t>
      </w:r>
      <w:r w:rsidRPr="009C5D97">
        <w:rPr>
          <w:rFonts w:ascii="Times New Roman" w:hAnsi="Times New Roman"/>
          <w:color w:val="000000"/>
          <w:sz w:val="24"/>
          <w:szCs w:val="24"/>
        </w:rPr>
        <w:t xml:space="preserve"> нејзиното закрепнување по кризата </w:t>
      </w:r>
      <w:r>
        <w:rPr>
          <w:rFonts w:ascii="Times New Roman" w:hAnsi="Times New Roman"/>
          <w:color w:val="000000"/>
          <w:sz w:val="24"/>
          <w:szCs w:val="24"/>
        </w:rPr>
        <w:t>со</w:t>
      </w:r>
      <w:r w:rsidRPr="009C5D97">
        <w:rPr>
          <w:rFonts w:ascii="Times New Roman" w:hAnsi="Times New Roman"/>
          <w:color w:val="000000"/>
          <w:sz w:val="24"/>
          <w:szCs w:val="24"/>
        </w:rPr>
        <w:t xml:space="preserve"> КОВИД</w:t>
      </w:r>
      <w:r>
        <w:rPr>
          <w:rFonts w:ascii="Times New Roman" w:hAnsi="Times New Roman"/>
          <w:color w:val="000000"/>
          <w:sz w:val="24"/>
          <w:szCs w:val="24"/>
        </w:rPr>
        <w:t>-19</w:t>
      </w:r>
      <w:r w:rsidRPr="009C5D97">
        <w:rPr>
          <w:rFonts w:ascii="Times New Roman" w:hAnsi="Times New Roman"/>
          <w:color w:val="000000"/>
          <w:sz w:val="24"/>
          <w:szCs w:val="24"/>
        </w:rPr>
        <w:t xml:space="preserve">. Владата ги поддржува домаќинствата и бизнисите со големи енергетски субвенции, намалувања на даноците и насочена директна поддршка на приходите. Како резултат на зголемувањето на даночните приходи поттикнато од инфлацијата и на недоволното извршување на неколку категории расходи, општиот државен дефицит остана под ревидираната цел. Капиталните расходи </w:t>
      </w:r>
      <w:r>
        <w:rPr>
          <w:rFonts w:ascii="Times New Roman" w:hAnsi="Times New Roman"/>
          <w:color w:val="000000"/>
          <w:sz w:val="24"/>
          <w:szCs w:val="24"/>
        </w:rPr>
        <w:t>се</w:t>
      </w:r>
      <w:r w:rsidRPr="009C5D97">
        <w:rPr>
          <w:rFonts w:ascii="Times New Roman" w:hAnsi="Times New Roman"/>
          <w:color w:val="000000"/>
          <w:sz w:val="24"/>
          <w:szCs w:val="24"/>
        </w:rPr>
        <w:t xml:space="preserve"> значително зголемени, но сепак </w:t>
      </w:r>
      <w:r>
        <w:rPr>
          <w:rFonts w:ascii="Times New Roman" w:hAnsi="Times New Roman"/>
          <w:color w:val="000000"/>
          <w:sz w:val="24"/>
          <w:szCs w:val="24"/>
        </w:rPr>
        <w:t>се</w:t>
      </w:r>
      <w:r w:rsidRPr="009C5D97">
        <w:rPr>
          <w:rFonts w:ascii="Times New Roman" w:hAnsi="Times New Roman"/>
          <w:color w:val="000000"/>
          <w:sz w:val="24"/>
          <w:szCs w:val="24"/>
        </w:rPr>
        <w:t xml:space="preserve"> под ревидираниот план. Коефициентот на јавниот долг опадна, но останува значително над нивоата пред КОВИД-19. Централната банка дополнително ја заостри својата политика со оглед на сè уште зголемените инфлациски притисоци</w:t>
      </w:r>
      <w:r>
        <w:rPr>
          <w:rFonts w:ascii="Times New Roman" w:hAnsi="Times New Roman"/>
          <w:color w:val="000000"/>
          <w:sz w:val="24"/>
          <w:szCs w:val="24"/>
        </w:rPr>
        <w:t xml:space="preserve"> што</w:t>
      </w:r>
      <w:r w:rsidRPr="009C5D97">
        <w:rPr>
          <w:rFonts w:ascii="Times New Roman" w:hAnsi="Times New Roman"/>
          <w:color w:val="000000"/>
          <w:sz w:val="24"/>
          <w:szCs w:val="24"/>
        </w:rPr>
        <w:t xml:space="preserve"> почнаа постепено да се намалуваат кон крајот на 2022 година и натаму. Дефицитот на тековната сметка значително се зголеми поради порастот на цените за увоз на енергија, но потребите од надворешно финансирање </w:t>
      </w:r>
      <w:r>
        <w:rPr>
          <w:rFonts w:ascii="Times New Roman" w:hAnsi="Times New Roman"/>
          <w:color w:val="000000"/>
          <w:sz w:val="24"/>
          <w:szCs w:val="24"/>
        </w:rPr>
        <w:t>се</w:t>
      </w:r>
      <w:r w:rsidRPr="009C5D97">
        <w:rPr>
          <w:rFonts w:ascii="Times New Roman" w:hAnsi="Times New Roman"/>
          <w:color w:val="000000"/>
          <w:sz w:val="24"/>
          <w:szCs w:val="24"/>
        </w:rPr>
        <w:t xml:space="preserve"> задоволени со помош на пазарно задолжување и задолжување во ММФ.</w:t>
      </w:r>
    </w:p>
    <w:p w:rsidR="009768C4" w:rsidRPr="009C5D97"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Pr>
          <w:rFonts w:ascii="Times New Roman" w:hAnsi="Times New Roman"/>
          <w:color w:val="000000"/>
          <w:sz w:val="24"/>
          <w:szCs w:val="24"/>
        </w:rPr>
        <w:t>Со н</w:t>
      </w:r>
      <w:r w:rsidRPr="009C5D97">
        <w:rPr>
          <w:rFonts w:ascii="Times New Roman" w:hAnsi="Times New Roman"/>
          <w:color w:val="000000"/>
          <w:sz w:val="24"/>
          <w:szCs w:val="24"/>
        </w:rPr>
        <w:t>ов</w:t>
      </w:r>
      <w:r>
        <w:rPr>
          <w:rFonts w:ascii="Times New Roman" w:hAnsi="Times New Roman"/>
          <w:color w:val="000000"/>
          <w:sz w:val="24"/>
          <w:szCs w:val="24"/>
        </w:rPr>
        <w:t>иот</w:t>
      </w:r>
      <w:r w:rsidRPr="009C5D97">
        <w:rPr>
          <w:rFonts w:ascii="Times New Roman" w:hAnsi="Times New Roman"/>
          <w:color w:val="000000"/>
          <w:sz w:val="24"/>
          <w:szCs w:val="24"/>
        </w:rPr>
        <w:t xml:space="preserve"> Закон за буџети </w:t>
      </w:r>
      <w:r>
        <w:rPr>
          <w:rFonts w:ascii="Times New Roman" w:hAnsi="Times New Roman"/>
          <w:color w:val="000000"/>
          <w:sz w:val="24"/>
          <w:szCs w:val="24"/>
        </w:rPr>
        <w:t xml:space="preserve">се </w:t>
      </w:r>
      <w:r w:rsidRPr="009C5D97">
        <w:rPr>
          <w:rFonts w:ascii="Times New Roman" w:hAnsi="Times New Roman"/>
          <w:color w:val="000000"/>
          <w:sz w:val="24"/>
          <w:szCs w:val="24"/>
        </w:rPr>
        <w:t>предвидува воведување фискални правила и фискален совет, што значително ја зајакна фискалната стабилност. Сепак, напредокот е бавен во спроведувањето на обемните мерки за подобрување на управувањето со јавните инвестиции, што е од витално значење за поддршка на плановите на Владата за значително зголемување на капиталните расходи.</w:t>
      </w:r>
    </w:p>
    <w:p w:rsidR="009768C4" w:rsidRPr="009C5D97"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085923">
        <w:rPr>
          <w:rFonts w:ascii="Times New Roman" w:hAnsi="Times New Roman"/>
          <w:color w:val="000000"/>
          <w:sz w:val="24"/>
          <w:szCs w:val="24"/>
        </w:rPr>
        <w:t xml:space="preserve">Банкарскиот сектор </w:t>
      </w:r>
      <w:r w:rsidRPr="00C65099">
        <w:rPr>
          <w:rFonts w:ascii="Times New Roman" w:hAnsi="Times New Roman"/>
          <w:color w:val="000000"/>
          <w:sz w:val="24"/>
          <w:szCs w:val="24"/>
        </w:rPr>
        <w:t>с</w:t>
      </w:r>
      <w:r w:rsidRPr="00085923">
        <w:rPr>
          <w:rFonts w:ascii="Times New Roman" w:hAnsi="Times New Roman"/>
          <w:color w:val="000000"/>
          <w:sz w:val="24"/>
          <w:szCs w:val="24"/>
        </w:rPr>
        <w:t xml:space="preserve">е </w:t>
      </w:r>
      <w:r w:rsidRPr="00C65099">
        <w:rPr>
          <w:rFonts w:ascii="Times New Roman" w:hAnsi="Times New Roman"/>
          <w:color w:val="000000"/>
          <w:sz w:val="24"/>
          <w:szCs w:val="24"/>
        </w:rPr>
        <w:t xml:space="preserve">покажа </w:t>
      </w:r>
      <w:r w:rsidRPr="00085923">
        <w:rPr>
          <w:rFonts w:ascii="Times New Roman" w:hAnsi="Times New Roman"/>
          <w:color w:val="000000"/>
          <w:sz w:val="24"/>
          <w:szCs w:val="24"/>
        </w:rPr>
        <w:t>отпорен за време на</w:t>
      </w:r>
      <w:r w:rsidRPr="009C5D97">
        <w:rPr>
          <w:rFonts w:ascii="Times New Roman" w:hAnsi="Times New Roman"/>
          <w:color w:val="000000"/>
          <w:sz w:val="24"/>
          <w:szCs w:val="24"/>
        </w:rPr>
        <w:t xml:space="preserve"> кризите, а финансиската стабилност се зајакна со напредокот во некои клучни законодавни акти. Пазарот на труд бележи одредено подобрување, но и понатаму постојат структурни проблеми, каде што се вклучени високите стапки на невработеност кај младите и долгорочната невработеност, како и големиот родов јаз. Деловното опкружување и понатаму е попречено од значителниот обем на неформалната економија, бавниот напредок во рационализацијата на парафискалните давачки и нетранспарент</w:t>
      </w:r>
      <w:r>
        <w:rPr>
          <w:rFonts w:ascii="Times New Roman" w:hAnsi="Times New Roman"/>
          <w:color w:val="000000"/>
          <w:sz w:val="24"/>
          <w:szCs w:val="24"/>
        </w:rPr>
        <w:t>ниот</w:t>
      </w:r>
      <w:r w:rsidRPr="009C5D97">
        <w:rPr>
          <w:rFonts w:ascii="Times New Roman" w:hAnsi="Times New Roman"/>
          <w:color w:val="000000"/>
          <w:sz w:val="24"/>
          <w:szCs w:val="24"/>
        </w:rPr>
        <w:t xml:space="preserve"> и неефикасен режим за државна помош.</w:t>
      </w:r>
    </w:p>
    <w:p w:rsidR="009768C4" w:rsidRPr="009C5D97"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 xml:space="preserve">Бидејќи препораките од претходната година само делумно </w:t>
      </w:r>
      <w:r>
        <w:rPr>
          <w:rFonts w:ascii="Times New Roman" w:hAnsi="Times New Roman"/>
          <w:color w:val="000000"/>
          <w:sz w:val="24"/>
          <w:szCs w:val="24"/>
        </w:rPr>
        <w:t xml:space="preserve">се </w:t>
      </w:r>
      <w:r w:rsidRPr="009C5D97">
        <w:rPr>
          <w:rFonts w:ascii="Times New Roman" w:hAnsi="Times New Roman"/>
          <w:color w:val="000000"/>
          <w:sz w:val="24"/>
          <w:szCs w:val="24"/>
        </w:rPr>
        <w:t>спроведени, тие продолжуваат да важат. За да се подобри функционирањето на пазарната економија, Северна Македонија особено треба:</w:t>
      </w:r>
    </w:p>
    <w:p w:rsidR="009768C4" w:rsidRPr="009C5D97"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 xml:space="preserve">→ да обезбеди насочена и привремена поддршка за ранливите домаќинства и компании </w:t>
      </w:r>
      <w:r w:rsidRPr="00085923">
        <w:rPr>
          <w:rFonts w:ascii="Times New Roman" w:hAnsi="Times New Roman"/>
          <w:color w:val="000000"/>
          <w:sz w:val="24"/>
          <w:szCs w:val="24"/>
        </w:rPr>
        <w:t>за да го ублажат</w:t>
      </w:r>
      <w:r w:rsidRPr="009C5D97">
        <w:rPr>
          <w:rFonts w:ascii="Times New Roman" w:hAnsi="Times New Roman"/>
          <w:color w:val="000000"/>
          <w:sz w:val="24"/>
          <w:szCs w:val="24"/>
        </w:rPr>
        <w:t xml:space="preserve"> влијанието од енергетската криза, доколку е потребно, и истовремено постепено да ги отстрани ненасочените субвенции за енергетскиот сектор;</w:t>
      </w:r>
    </w:p>
    <w:p w:rsidR="009768C4" w:rsidRPr="009C5D97"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w:t>
      </w:r>
      <w:r w:rsidRPr="009C5D97">
        <w:rPr>
          <w:rFonts w:ascii="Times New Roman" w:hAnsi="Times New Roman"/>
          <w:color w:val="000000"/>
          <w:sz w:val="24"/>
          <w:szCs w:val="24"/>
        </w:rPr>
        <w:tab/>
      </w:r>
      <w:r w:rsidRPr="00085923">
        <w:rPr>
          <w:rFonts w:ascii="Times New Roman" w:hAnsi="Times New Roman"/>
          <w:color w:val="000000"/>
          <w:sz w:val="24"/>
          <w:szCs w:val="24"/>
        </w:rPr>
        <w:t>да донесе</w:t>
      </w:r>
      <w:r w:rsidRPr="009C5D97">
        <w:rPr>
          <w:rFonts w:ascii="Times New Roman" w:hAnsi="Times New Roman"/>
          <w:color w:val="000000"/>
          <w:sz w:val="24"/>
          <w:szCs w:val="24"/>
        </w:rPr>
        <w:t xml:space="preserve"> и до Собранието да ја достави следната група мерки за зајакнување на приходите во согласност со </w:t>
      </w:r>
      <w:r>
        <w:rPr>
          <w:rFonts w:ascii="Times New Roman" w:hAnsi="Times New Roman"/>
          <w:color w:val="000000"/>
          <w:sz w:val="24"/>
          <w:szCs w:val="24"/>
        </w:rPr>
        <w:t>С</w:t>
      </w:r>
      <w:r w:rsidRPr="009C5D97">
        <w:rPr>
          <w:rFonts w:ascii="Times New Roman" w:hAnsi="Times New Roman"/>
          <w:color w:val="000000"/>
          <w:sz w:val="24"/>
          <w:szCs w:val="24"/>
        </w:rPr>
        <w:t>тратегијата за реформа на даночниот систем;</w:t>
      </w:r>
    </w:p>
    <w:p w:rsidR="009768C4" w:rsidRPr="009C5D97"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w:t>
      </w:r>
      <w:r w:rsidRPr="009C5D97">
        <w:rPr>
          <w:rFonts w:ascii="Times New Roman" w:hAnsi="Times New Roman"/>
          <w:color w:val="000000"/>
          <w:sz w:val="24"/>
          <w:szCs w:val="24"/>
        </w:rPr>
        <w:tab/>
        <w:t xml:space="preserve">да го забрза спроведувањето на </w:t>
      </w:r>
      <w:r>
        <w:rPr>
          <w:rFonts w:ascii="Times New Roman" w:hAnsi="Times New Roman"/>
          <w:color w:val="000000"/>
          <w:sz w:val="24"/>
          <w:szCs w:val="24"/>
        </w:rPr>
        <w:t>А</w:t>
      </w:r>
      <w:r w:rsidRPr="009C5D97">
        <w:rPr>
          <w:rFonts w:ascii="Times New Roman" w:hAnsi="Times New Roman"/>
          <w:color w:val="000000"/>
          <w:sz w:val="24"/>
          <w:szCs w:val="24"/>
        </w:rPr>
        <w:t>кцискиот план за управување со јавни</w:t>
      </w:r>
      <w:r>
        <w:rPr>
          <w:rFonts w:ascii="Times New Roman" w:hAnsi="Times New Roman"/>
          <w:color w:val="000000"/>
          <w:sz w:val="24"/>
          <w:szCs w:val="24"/>
        </w:rPr>
        <w:t>те</w:t>
      </w:r>
      <w:r w:rsidRPr="009C5D97">
        <w:rPr>
          <w:rFonts w:ascii="Times New Roman" w:hAnsi="Times New Roman"/>
          <w:color w:val="000000"/>
          <w:sz w:val="24"/>
          <w:szCs w:val="24"/>
        </w:rPr>
        <w:t xml:space="preserve"> инвестиции, особено со осигурување дека Секторот за управување со јавни инвестиции во Министерството за финансии е целосно екипиран и оперативен;</w:t>
      </w:r>
    </w:p>
    <w:p w:rsidR="009768C4" w:rsidRPr="009C5D97"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w:t>
      </w:r>
      <w:r w:rsidRPr="009C5D97">
        <w:rPr>
          <w:rFonts w:ascii="Times New Roman" w:hAnsi="Times New Roman"/>
          <w:color w:val="000000"/>
          <w:sz w:val="24"/>
          <w:szCs w:val="24"/>
        </w:rPr>
        <w:tab/>
        <w:t xml:space="preserve">да се зајакне пристапот до активните мерки за пазарот на трудот, особено за нискоквалификуваните невработени лица и за </w:t>
      </w:r>
      <w:r w:rsidRPr="00085923">
        <w:rPr>
          <w:rFonts w:ascii="Times New Roman" w:hAnsi="Times New Roman"/>
          <w:color w:val="000000"/>
          <w:sz w:val="24"/>
          <w:szCs w:val="24"/>
        </w:rPr>
        <w:t>лицата во ранлива состојба</w:t>
      </w:r>
      <w:r w:rsidRPr="009C5D97">
        <w:rPr>
          <w:rFonts w:ascii="Times New Roman" w:hAnsi="Times New Roman"/>
          <w:color w:val="000000"/>
          <w:sz w:val="24"/>
          <w:szCs w:val="24"/>
        </w:rPr>
        <w:t>.</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color w:val="000000"/>
          <w:sz w:val="24"/>
          <w:szCs w:val="24"/>
          <w:u w:val="single"/>
        </w:rPr>
        <w:t>Економско управување</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b/>
          <w:bCs/>
          <w:color w:val="000000"/>
          <w:sz w:val="24"/>
          <w:szCs w:val="24"/>
        </w:rPr>
        <w:t xml:space="preserve">Владата обезбеди фискална поддршка за да ѝ помогне на економијата да се справи со зголемените ценовни притисоци, но напредокот во важните реформи е бавен. </w:t>
      </w:r>
      <w:r w:rsidRPr="00085923">
        <w:rPr>
          <w:rFonts w:ascii="Times New Roman" w:hAnsi="Times New Roman"/>
          <w:color w:val="000000"/>
          <w:sz w:val="24"/>
          <w:szCs w:val="24"/>
        </w:rPr>
        <w:t xml:space="preserve">Додека постепеното </w:t>
      </w:r>
      <w:r w:rsidRPr="00F35ECC">
        <w:rPr>
          <w:rFonts w:ascii="Times New Roman" w:hAnsi="Times New Roman"/>
          <w:color w:val="000000"/>
          <w:sz w:val="24"/>
          <w:szCs w:val="24"/>
        </w:rPr>
        <w:t>ги укинув</w:t>
      </w:r>
      <w:r w:rsidRPr="00721A72">
        <w:rPr>
          <w:rFonts w:ascii="Times New Roman" w:hAnsi="Times New Roman"/>
          <w:color w:val="000000"/>
          <w:sz w:val="24"/>
          <w:szCs w:val="24"/>
          <w:lang w:val="ru-RU"/>
        </w:rPr>
        <w:t>ше</w:t>
      </w:r>
      <w:r w:rsidRPr="00F35ECC">
        <w:rPr>
          <w:rFonts w:ascii="Times New Roman" w:hAnsi="Times New Roman"/>
          <w:color w:val="000000"/>
          <w:sz w:val="24"/>
          <w:szCs w:val="24"/>
        </w:rPr>
        <w:t xml:space="preserve"> широкоопфатните мерки за поддршка п</w:t>
      </w:r>
      <w:r w:rsidRPr="00DE0D3B">
        <w:rPr>
          <w:rFonts w:ascii="Times New Roman" w:hAnsi="Times New Roman"/>
          <w:color w:val="000000"/>
          <w:sz w:val="24"/>
          <w:szCs w:val="24"/>
        </w:rPr>
        <w:t xml:space="preserve">оврзани со пандемијата донесени во 2020 и 2021 година, Владата </w:t>
      </w:r>
      <w:r w:rsidRPr="00B926B5">
        <w:rPr>
          <w:rFonts w:ascii="Times New Roman" w:hAnsi="Times New Roman"/>
          <w:color w:val="000000"/>
          <w:sz w:val="24"/>
          <w:szCs w:val="24"/>
        </w:rPr>
        <w:t xml:space="preserve">во 2022 година </w:t>
      </w:r>
      <w:r w:rsidRPr="00382B0A">
        <w:rPr>
          <w:rFonts w:ascii="Times New Roman" w:hAnsi="Times New Roman"/>
          <w:color w:val="000000"/>
          <w:sz w:val="24"/>
          <w:szCs w:val="24"/>
        </w:rPr>
        <w:t>доне</w:t>
      </w:r>
      <w:r w:rsidRPr="00721A72">
        <w:rPr>
          <w:rFonts w:ascii="Times New Roman" w:hAnsi="Times New Roman"/>
          <w:color w:val="000000"/>
          <w:sz w:val="24"/>
          <w:szCs w:val="24"/>
        </w:rPr>
        <w:t>се</w:t>
      </w:r>
      <w:r w:rsidRPr="009C5D97">
        <w:rPr>
          <w:rFonts w:ascii="Times New Roman" w:hAnsi="Times New Roman"/>
          <w:color w:val="000000"/>
          <w:sz w:val="24"/>
          <w:szCs w:val="24"/>
        </w:rPr>
        <w:t xml:space="preserve"> два пакета на (делумно) подобро насочени и привремени мерки за да го олесни товарот од високите цени за храна и енергија врз домаќинствата и врз малите бизниси. </w:t>
      </w:r>
      <w:r w:rsidRPr="00F433D8">
        <w:rPr>
          <w:rFonts w:ascii="Times New Roman" w:hAnsi="Times New Roman"/>
          <w:color w:val="000000"/>
          <w:sz w:val="24"/>
          <w:szCs w:val="24"/>
        </w:rPr>
        <w:t xml:space="preserve">Овие мерки </w:t>
      </w:r>
      <w:r w:rsidRPr="006143CA">
        <w:rPr>
          <w:rFonts w:ascii="Times New Roman" w:hAnsi="Times New Roman"/>
          <w:color w:val="000000"/>
          <w:sz w:val="24"/>
          <w:szCs w:val="24"/>
        </w:rPr>
        <w:t>вклучуваат привремено намалување на стапката на ДДВ за електрична енергија за домаќинствата, како и значителни субвенции за државниот производител на електрична енергија, ЕСМ, кој го снабдува универзалниот снабдувач со електрична енергија во регулираниот пазар за да се намали цената на електричната енергија за корисниците</w:t>
      </w:r>
      <w:r w:rsidRPr="009C5D97">
        <w:rPr>
          <w:rFonts w:ascii="Times New Roman" w:hAnsi="Times New Roman"/>
          <w:color w:val="000000"/>
          <w:sz w:val="24"/>
          <w:szCs w:val="24"/>
        </w:rPr>
        <w:t>. На овој начин, со одлука на Владата, моментно задоволува 100 отсто од побарувачката на регулираниот пазар. Со Законот за финансиска поддршка на социјално ранливи</w:t>
      </w:r>
      <w:r>
        <w:rPr>
          <w:rFonts w:ascii="Times New Roman" w:hAnsi="Times New Roman"/>
          <w:color w:val="000000"/>
          <w:sz w:val="24"/>
          <w:szCs w:val="24"/>
        </w:rPr>
        <w:t>те</w:t>
      </w:r>
      <w:r w:rsidRPr="009C5D97">
        <w:rPr>
          <w:rFonts w:ascii="Times New Roman" w:hAnsi="Times New Roman"/>
          <w:color w:val="000000"/>
          <w:sz w:val="24"/>
          <w:szCs w:val="24"/>
        </w:rPr>
        <w:t xml:space="preserve"> категории граѓани за справување со енергетската криза</w:t>
      </w:r>
      <w:r>
        <w:rPr>
          <w:rFonts w:ascii="Times New Roman" w:hAnsi="Times New Roman"/>
          <w:color w:val="000000"/>
          <w:sz w:val="24"/>
          <w:szCs w:val="24"/>
        </w:rPr>
        <w:t>,</w:t>
      </w:r>
      <w:r w:rsidRPr="009C5D97">
        <w:rPr>
          <w:rFonts w:ascii="Times New Roman" w:hAnsi="Times New Roman"/>
          <w:color w:val="000000"/>
          <w:sz w:val="24"/>
          <w:szCs w:val="24"/>
        </w:rPr>
        <w:t xml:space="preserve"> донесен во ноември 2022 година, Владата обезбеди насочена директна поддршка на приходите. Владата</w:t>
      </w:r>
      <w:r>
        <w:rPr>
          <w:rFonts w:ascii="Times New Roman" w:hAnsi="Times New Roman"/>
          <w:color w:val="000000"/>
          <w:sz w:val="24"/>
          <w:szCs w:val="24"/>
        </w:rPr>
        <w:t>,</w:t>
      </w:r>
      <w:r w:rsidRPr="009C5D97">
        <w:rPr>
          <w:rFonts w:ascii="Times New Roman" w:hAnsi="Times New Roman"/>
          <w:color w:val="000000"/>
          <w:sz w:val="24"/>
          <w:szCs w:val="24"/>
        </w:rPr>
        <w:t xml:space="preserve"> исто така</w:t>
      </w:r>
      <w:r>
        <w:rPr>
          <w:rFonts w:ascii="Times New Roman" w:hAnsi="Times New Roman"/>
          <w:color w:val="000000"/>
          <w:sz w:val="24"/>
          <w:szCs w:val="24"/>
        </w:rPr>
        <w:t>,</w:t>
      </w:r>
      <w:r w:rsidRPr="009C5D97">
        <w:rPr>
          <w:rFonts w:ascii="Times New Roman" w:hAnsi="Times New Roman"/>
          <w:color w:val="000000"/>
          <w:sz w:val="24"/>
          <w:szCs w:val="24"/>
        </w:rPr>
        <w:t xml:space="preserve"> воведе привремено ограничување на цените на одредени прехранбени производи што е укинато на 1 јуни 2023 година. Со новиот Закон за буџети, донесен од Собранието во септември 2022 година, вовед</w:t>
      </w:r>
      <w:r>
        <w:rPr>
          <w:rFonts w:ascii="Times New Roman" w:hAnsi="Times New Roman"/>
          <w:color w:val="000000"/>
          <w:sz w:val="24"/>
          <w:szCs w:val="24"/>
        </w:rPr>
        <w:t>ени се</w:t>
      </w:r>
      <w:r w:rsidRPr="009C5D97">
        <w:rPr>
          <w:rFonts w:ascii="Times New Roman" w:hAnsi="Times New Roman"/>
          <w:color w:val="000000"/>
          <w:sz w:val="24"/>
          <w:szCs w:val="24"/>
        </w:rPr>
        <w:t xml:space="preserve"> фискални правила и фискален совет</w:t>
      </w:r>
      <w:r>
        <w:rPr>
          <w:rFonts w:ascii="Times New Roman" w:hAnsi="Times New Roman"/>
          <w:color w:val="000000"/>
          <w:sz w:val="24"/>
          <w:szCs w:val="24"/>
        </w:rPr>
        <w:t>,</w:t>
      </w:r>
      <w:r w:rsidRPr="009C5D97">
        <w:rPr>
          <w:rFonts w:ascii="Times New Roman" w:hAnsi="Times New Roman"/>
          <w:color w:val="000000"/>
          <w:sz w:val="24"/>
          <w:szCs w:val="24"/>
        </w:rPr>
        <w:t xml:space="preserve"> како и подобрена среднорочна буџетска рамка. Сепак, напредокот на другите клучни реформски области е бавен. Подобрувањата во управувањето со јавните инвестиции се спречени од проблеми со екипирањето и со ИТ. Некои од даночните реформи за зајакнување на јавните приходи, донесени од Владата во декември 2022 година, чија цел е намалување на даночните ослободувања, беа во застој во Собранието. Новата правна рамка за јавни приватни партнерства (ЈПП) со која би се коригирале некои од недостатоците во управувањето со ЈПП и во концесиите сè уште не е донесена од Владата. Владата се подобри во спроведувањето на зелената транзиција, особено </w:t>
      </w:r>
      <w:r w:rsidRPr="00085923">
        <w:rPr>
          <w:rFonts w:ascii="Times New Roman" w:hAnsi="Times New Roman"/>
          <w:color w:val="000000"/>
          <w:sz w:val="24"/>
          <w:szCs w:val="24"/>
        </w:rPr>
        <w:t>со донесувањето важно</w:t>
      </w:r>
      <w:r w:rsidRPr="009C5D97">
        <w:rPr>
          <w:rFonts w:ascii="Times New Roman" w:hAnsi="Times New Roman"/>
          <w:color w:val="000000"/>
          <w:sz w:val="24"/>
          <w:szCs w:val="24"/>
        </w:rPr>
        <w:t xml:space="preserve"> законодавство за зголемување на употребата на обновливи енергии.</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b/>
          <w:bCs/>
          <w:color w:val="000000"/>
          <w:sz w:val="24"/>
          <w:szCs w:val="24"/>
        </w:rPr>
        <w:t>Политичките насоки</w:t>
      </w:r>
      <w:r>
        <w:rPr>
          <w:rFonts w:ascii="Times New Roman" w:hAnsi="Times New Roman"/>
          <w:b/>
          <w:bCs/>
          <w:color w:val="000000"/>
          <w:sz w:val="24"/>
          <w:szCs w:val="24"/>
        </w:rPr>
        <w:t>,</w:t>
      </w:r>
      <w:r w:rsidRPr="009C5D97">
        <w:rPr>
          <w:rFonts w:ascii="Times New Roman" w:hAnsi="Times New Roman"/>
          <w:b/>
          <w:bCs/>
          <w:color w:val="000000"/>
          <w:sz w:val="24"/>
          <w:szCs w:val="24"/>
        </w:rPr>
        <w:t xml:space="preserve"> заеднички договорени во мај 2022 година на Економско-финансискиот дијалог </w:t>
      </w:r>
      <w:r>
        <w:rPr>
          <w:rFonts w:ascii="Times New Roman" w:hAnsi="Times New Roman"/>
          <w:b/>
          <w:bCs/>
          <w:color w:val="000000"/>
          <w:sz w:val="24"/>
          <w:szCs w:val="24"/>
        </w:rPr>
        <w:t>по</w:t>
      </w:r>
      <w:r w:rsidRPr="009C5D97">
        <w:rPr>
          <w:rFonts w:ascii="Times New Roman" w:hAnsi="Times New Roman"/>
          <w:b/>
          <w:bCs/>
          <w:color w:val="000000"/>
          <w:sz w:val="24"/>
          <w:szCs w:val="24"/>
        </w:rPr>
        <w:t>меѓу ЕУ, Западен Балкан и Турција</w:t>
      </w:r>
      <w:r>
        <w:rPr>
          <w:rFonts w:ascii="Times New Roman" w:hAnsi="Times New Roman"/>
          <w:b/>
          <w:bCs/>
          <w:color w:val="000000"/>
          <w:sz w:val="24"/>
          <w:szCs w:val="24"/>
        </w:rPr>
        <w:t>,</w:t>
      </w:r>
      <w:r w:rsidRPr="009C5D97">
        <w:rPr>
          <w:rFonts w:ascii="Times New Roman" w:hAnsi="Times New Roman"/>
          <w:b/>
          <w:bCs/>
          <w:color w:val="000000"/>
          <w:sz w:val="24"/>
          <w:szCs w:val="24"/>
        </w:rPr>
        <w:t xml:space="preserve"> делумно </w:t>
      </w:r>
      <w:r>
        <w:rPr>
          <w:rFonts w:ascii="Times New Roman" w:hAnsi="Times New Roman"/>
          <w:b/>
          <w:bCs/>
          <w:color w:val="000000"/>
          <w:sz w:val="24"/>
          <w:szCs w:val="24"/>
        </w:rPr>
        <w:t xml:space="preserve">се </w:t>
      </w:r>
      <w:r w:rsidRPr="009C5D97">
        <w:rPr>
          <w:rFonts w:ascii="Times New Roman" w:hAnsi="Times New Roman"/>
          <w:b/>
          <w:bCs/>
          <w:color w:val="000000"/>
          <w:sz w:val="24"/>
          <w:szCs w:val="24"/>
        </w:rPr>
        <w:t>спроведени</w:t>
      </w:r>
      <w:r w:rsidRPr="009C5D97">
        <w:rPr>
          <w:rFonts w:ascii="Times New Roman" w:hAnsi="Times New Roman"/>
          <w:color w:val="000000"/>
          <w:sz w:val="24"/>
          <w:szCs w:val="24"/>
        </w:rPr>
        <w:t xml:space="preserve">. Земјата има придобивки од поддршката </w:t>
      </w:r>
      <w:r w:rsidRPr="00085923">
        <w:rPr>
          <w:rFonts w:ascii="Times New Roman" w:hAnsi="Times New Roman"/>
          <w:color w:val="000000"/>
          <w:sz w:val="24"/>
          <w:szCs w:val="24"/>
        </w:rPr>
        <w:t>на</w:t>
      </w:r>
      <w:r w:rsidRPr="009C5D97">
        <w:rPr>
          <w:rFonts w:ascii="Times New Roman" w:hAnsi="Times New Roman"/>
          <w:color w:val="000000"/>
          <w:sz w:val="24"/>
          <w:szCs w:val="24"/>
        </w:rPr>
        <w:t xml:space="preserve"> буџетот од ЕУ во вредност од 80 милиони евра за да се ублажи влијанието од зголемувањето на цените на енергијата врз домаќинствата, врз малите и средните претпријатија и врз давателите на јавни услуги, од кои 72 милион</w:t>
      </w:r>
      <w:r>
        <w:rPr>
          <w:rFonts w:ascii="Times New Roman" w:hAnsi="Times New Roman"/>
          <w:color w:val="000000"/>
          <w:sz w:val="24"/>
          <w:szCs w:val="24"/>
        </w:rPr>
        <w:t>а</w:t>
      </w:r>
      <w:r w:rsidRPr="009C5D97">
        <w:rPr>
          <w:rFonts w:ascii="Times New Roman" w:hAnsi="Times New Roman"/>
          <w:color w:val="000000"/>
          <w:sz w:val="24"/>
          <w:szCs w:val="24"/>
        </w:rPr>
        <w:t xml:space="preserve"> евра </w:t>
      </w:r>
      <w:r>
        <w:rPr>
          <w:rFonts w:ascii="Times New Roman" w:hAnsi="Times New Roman"/>
          <w:color w:val="000000"/>
          <w:sz w:val="24"/>
          <w:szCs w:val="24"/>
        </w:rPr>
        <w:t>се</w:t>
      </w:r>
      <w:r w:rsidRPr="009C5D97">
        <w:rPr>
          <w:rFonts w:ascii="Times New Roman" w:hAnsi="Times New Roman"/>
          <w:color w:val="000000"/>
          <w:sz w:val="24"/>
          <w:szCs w:val="24"/>
        </w:rPr>
        <w:t xml:space="preserve"> исплатени во март</w:t>
      </w:r>
      <w:r>
        <w:rPr>
          <w:rFonts w:ascii="Times New Roman" w:hAnsi="Times New Roman"/>
          <w:color w:val="000000"/>
          <w:sz w:val="24"/>
          <w:szCs w:val="24"/>
        </w:rPr>
        <w:t xml:space="preserve"> </w:t>
      </w:r>
      <w:r w:rsidRPr="009C5D97">
        <w:rPr>
          <w:rFonts w:ascii="Times New Roman" w:hAnsi="Times New Roman"/>
          <w:color w:val="000000"/>
          <w:sz w:val="24"/>
          <w:szCs w:val="24"/>
        </w:rPr>
        <w:t>2023 година. Во ноември 2022 година земјата ја прими првата транша во вредност од 110 милиони евра од аранжманот под Линијата за претпазливост и ликвидност (PLL) на ММФ</w:t>
      </w:r>
      <w:r w:rsidRPr="009C5D97">
        <w:rPr>
          <w:rStyle w:val="FootnoteReference"/>
          <w:rFonts w:ascii="Times New Roman" w:eastAsia="Times New Roman" w:hAnsi="Times New Roman"/>
          <w:color w:val="000000"/>
          <w:sz w:val="24"/>
          <w:szCs w:val="24"/>
        </w:rPr>
        <w:footnoteReference w:id="9"/>
      </w:r>
      <w:r w:rsidRPr="009C5D97">
        <w:rPr>
          <w:rFonts w:ascii="Times New Roman" w:hAnsi="Times New Roman"/>
          <w:color w:val="000000"/>
          <w:sz w:val="24"/>
          <w:szCs w:val="24"/>
        </w:rPr>
        <w:t>. На 12 јули 2023 година, имајќи ги предвид големите потреби на земјата за финансирање во 2023 и 2024 година, и на барање на Владата, Советот и Европскиот парламент го одобрија предлогот на Комисијата за макрофинансиска помош за Северна Македонија во износ до 100 милиони евра.</w:t>
      </w:r>
    </w:p>
    <w:p w:rsidR="009768C4" w:rsidRPr="009C5D97" w:rsidRDefault="00397C4A" w:rsidP="00A661C4">
      <w:pPr>
        <w:shd w:val="clear" w:color="auto" w:fill="FFFFFF"/>
        <w:spacing w:before="120" w:after="120" w:line="240" w:lineRule="auto"/>
        <w:jc w:val="both"/>
        <w:rPr>
          <w:rFonts w:ascii="Times New Roman" w:hAnsi="Times New Roman"/>
          <w:sz w:val="24"/>
          <w:szCs w:val="24"/>
        </w:rPr>
      </w:pPr>
      <w:r>
        <w:rPr>
          <w:rFonts w:ascii="Times New Roman" w:hAnsi="Times New Roman"/>
          <w:b/>
          <w:bCs/>
          <w:noProof/>
          <w:color w:val="000000"/>
          <w:sz w:val="24"/>
          <w:szCs w:val="24"/>
          <w:lang w:val="en-GB" w:eastAsia="en-GB"/>
        </w:rPr>
        <w:drawing>
          <wp:anchor distT="0" distB="0" distL="114300" distR="114300" simplePos="0" relativeHeight="251663360" behindDoc="0" locked="0" layoutInCell="1" allowOverlap="1" wp14:anchorId="6933BE00" wp14:editId="48EB2E7B">
            <wp:simplePos x="0" y="0"/>
            <wp:positionH relativeFrom="margin">
              <wp:posOffset>-57751</wp:posOffset>
            </wp:positionH>
            <wp:positionV relativeFrom="margin">
              <wp:posOffset>5315151</wp:posOffset>
            </wp:positionV>
            <wp:extent cx="2932182" cy="1862385"/>
            <wp:effectExtent l="0" t="0" r="1905"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1_M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2182" cy="1862385"/>
                    </a:xfrm>
                    <a:prstGeom prst="rect">
                      <a:avLst/>
                    </a:prstGeom>
                  </pic:spPr>
                </pic:pic>
              </a:graphicData>
            </a:graphic>
          </wp:anchor>
        </w:drawing>
      </w:r>
      <w:r w:rsidR="009768C4" w:rsidRPr="009C5D97">
        <w:rPr>
          <w:rFonts w:ascii="Times New Roman" w:hAnsi="Times New Roman"/>
          <w:color w:val="000000"/>
          <w:sz w:val="24"/>
          <w:szCs w:val="24"/>
          <w:u w:val="single"/>
        </w:rPr>
        <w:t>Макроекономска стабилност</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b/>
          <w:bCs/>
          <w:color w:val="000000"/>
          <w:sz w:val="24"/>
          <w:szCs w:val="24"/>
        </w:rPr>
        <w:t xml:space="preserve">Растот на БДП </w:t>
      </w:r>
      <w:r>
        <w:rPr>
          <w:rFonts w:ascii="Times New Roman" w:hAnsi="Times New Roman"/>
          <w:b/>
          <w:bCs/>
          <w:color w:val="000000"/>
          <w:sz w:val="24"/>
          <w:szCs w:val="24"/>
        </w:rPr>
        <w:t xml:space="preserve">е </w:t>
      </w:r>
      <w:r w:rsidRPr="009C5D97">
        <w:rPr>
          <w:rFonts w:ascii="Times New Roman" w:hAnsi="Times New Roman"/>
          <w:b/>
          <w:bCs/>
          <w:color w:val="000000"/>
          <w:sz w:val="24"/>
          <w:szCs w:val="24"/>
        </w:rPr>
        <w:t>забав</w:t>
      </w:r>
      <w:r>
        <w:rPr>
          <w:rFonts w:ascii="Times New Roman" w:hAnsi="Times New Roman"/>
          <w:b/>
          <w:bCs/>
          <w:color w:val="000000"/>
          <w:sz w:val="24"/>
          <w:szCs w:val="24"/>
        </w:rPr>
        <w:t>ен</w:t>
      </w:r>
      <w:r w:rsidRPr="009C5D97">
        <w:rPr>
          <w:rFonts w:ascii="Times New Roman" w:hAnsi="Times New Roman"/>
          <w:b/>
          <w:bCs/>
          <w:color w:val="000000"/>
          <w:sz w:val="24"/>
          <w:szCs w:val="24"/>
        </w:rPr>
        <w:t xml:space="preserve"> со оглед на тоа што економијата б</w:t>
      </w:r>
      <w:r>
        <w:rPr>
          <w:rFonts w:ascii="Times New Roman" w:hAnsi="Times New Roman"/>
          <w:b/>
          <w:bCs/>
          <w:color w:val="000000"/>
          <w:sz w:val="24"/>
          <w:szCs w:val="24"/>
        </w:rPr>
        <w:t>ила</w:t>
      </w:r>
      <w:r w:rsidRPr="009C5D97">
        <w:rPr>
          <w:rFonts w:ascii="Times New Roman" w:hAnsi="Times New Roman"/>
          <w:b/>
          <w:bCs/>
          <w:color w:val="000000"/>
          <w:sz w:val="24"/>
          <w:szCs w:val="24"/>
        </w:rPr>
        <w:t xml:space="preserve"> погодена од последиците од руската воена агресија врз Украина. </w:t>
      </w:r>
      <w:r w:rsidRPr="009C5D97">
        <w:rPr>
          <w:rFonts w:ascii="Times New Roman" w:hAnsi="Times New Roman"/>
          <w:color w:val="000000"/>
          <w:sz w:val="24"/>
          <w:szCs w:val="24"/>
        </w:rPr>
        <w:t xml:space="preserve">По делумното </w:t>
      </w:r>
      <w:r>
        <w:rPr>
          <w:rFonts w:ascii="Times New Roman" w:hAnsi="Times New Roman"/>
          <w:color w:val="000000"/>
          <w:sz w:val="24"/>
          <w:szCs w:val="24"/>
        </w:rPr>
        <w:t>закрепн</w:t>
      </w:r>
      <w:r w:rsidRPr="009C5D97">
        <w:rPr>
          <w:rFonts w:ascii="Times New Roman" w:hAnsi="Times New Roman"/>
          <w:color w:val="000000"/>
          <w:sz w:val="24"/>
          <w:szCs w:val="24"/>
        </w:rPr>
        <w:t>ување од рецесијата предизвикана од пандемијата на КОВИД-19, годишниот раст на БДП забави на 2,1</w:t>
      </w:r>
      <w:r>
        <w:rPr>
          <w:rFonts w:ascii="Times New Roman" w:hAnsi="Times New Roman"/>
          <w:color w:val="000000"/>
          <w:sz w:val="24"/>
          <w:szCs w:val="24"/>
        </w:rPr>
        <w:t xml:space="preserve"> </w:t>
      </w:r>
      <w:r w:rsidRPr="009C5D97">
        <w:rPr>
          <w:rFonts w:ascii="Times New Roman" w:hAnsi="Times New Roman"/>
          <w:color w:val="000000"/>
          <w:sz w:val="24"/>
          <w:szCs w:val="24"/>
        </w:rPr>
        <w:t>% во 2022 година од 3,9</w:t>
      </w:r>
      <w:r>
        <w:rPr>
          <w:rFonts w:ascii="Times New Roman" w:hAnsi="Times New Roman"/>
          <w:color w:val="000000"/>
          <w:sz w:val="24"/>
          <w:szCs w:val="24"/>
        </w:rPr>
        <w:t xml:space="preserve"> </w:t>
      </w:r>
      <w:r w:rsidRPr="009C5D97">
        <w:rPr>
          <w:rFonts w:ascii="Times New Roman" w:hAnsi="Times New Roman"/>
          <w:color w:val="000000"/>
          <w:sz w:val="24"/>
          <w:szCs w:val="24"/>
        </w:rPr>
        <w:t xml:space="preserve">% во 2021 година затоа што се намали надворешната побарувачка, прекините на глобалните синџири на снабдување продолжија, а глобалните цени на храната и енергијата брзо се зголемија. Динамиката на трговијата се раздвижи, но стапката на растот на увозот е поголема од стапката на растот на извозот што значи дека надворешната трговија има негативен придонес кон економскиот раст. Инвестициите силно пораснаа, делумно поради акумулацијата на </w:t>
      </w:r>
      <w:r>
        <w:rPr>
          <w:rFonts w:ascii="Times New Roman" w:hAnsi="Times New Roman"/>
          <w:color w:val="000000"/>
          <w:sz w:val="24"/>
          <w:szCs w:val="24"/>
        </w:rPr>
        <w:t>резерви</w:t>
      </w:r>
      <w:r w:rsidRPr="009C5D97">
        <w:rPr>
          <w:rFonts w:ascii="Times New Roman" w:hAnsi="Times New Roman"/>
          <w:color w:val="000000"/>
          <w:sz w:val="24"/>
          <w:szCs w:val="24"/>
        </w:rPr>
        <w:t xml:space="preserve"> на интермедијарни производи и суровини, со оглед на тоа што компаниите предвидуваа понатамошен раст на цените. Растот на приватната потрошувачка остро се забави и покрај тоа што </w:t>
      </w:r>
      <w:r>
        <w:rPr>
          <w:rFonts w:ascii="Times New Roman" w:hAnsi="Times New Roman"/>
          <w:color w:val="000000"/>
          <w:sz w:val="24"/>
          <w:szCs w:val="24"/>
        </w:rPr>
        <w:t>бил</w:t>
      </w:r>
      <w:r w:rsidRPr="009C5D97">
        <w:rPr>
          <w:rFonts w:ascii="Times New Roman" w:hAnsi="Times New Roman"/>
          <w:color w:val="000000"/>
          <w:sz w:val="24"/>
          <w:szCs w:val="24"/>
        </w:rPr>
        <w:t xml:space="preserve"> поттикнат од дозн</w:t>
      </w:r>
      <w:r w:rsidR="0015672B">
        <w:rPr>
          <w:rFonts w:ascii="Times New Roman" w:hAnsi="Times New Roman"/>
          <w:color w:val="000000"/>
          <w:sz w:val="24"/>
          <w:szCs w:val="24"/>
        </w:rPr>
        <w:t>а</w:t>
      </w:r>
      <w:r w:rsidRPr="009C5D97">
        <w:rPr>
          <w:rFonts w:ascii="Times New Roman" w:hAnsi="Times New Roman"/>
          <w:color w:val="000000"/>
          <w:sz w:val="24"/>
          <w:szCs w:val="24"/>
        </w:rPr>
        <w:t xml:space="preserve">ки од странство и мерки на Владата за поддршка. </w:t>
      </w:r>
      <w:r>
        <w:rPr>
          <w:rFonts w:ascii="Times New Roman" w:hAnsi="Times New Roman"/>
          <w:color w:val="000000"/>
          <w:sz w:val="24"/>
          <w:szCs w:val="24"/>
        </w:rPr>
        <w:t>И</w:t>
      </w:r>
      <w:r w:rsidRPr="009C5D97">
        <w:rPr>
          <w:rFonts w:ascii="Times New Roman" w:hAnsi="Times New Roman"/>
          <w:color w:val="000000"/>
          <w:sz w:val="24"/>
          <w:szCs w:val="24"/>
        </w:rPr>
        <w:t xml:space="preserve">ндустриското производство и </w:t>
      </w:r>
      <w:r w:rsidR="00721A72">
        <w:rPr>
          <w:rFonts w:ascii="Times New Roman" w:hAnsi="Times New Roman"/>
          <w:color w:val="000000"/>
          <w:sz w:val="24"/>
          <w:szCs w:val="24"/>
        </w:rPr>
        <w:t xml:space="preserve">резултатите од </w:t>
      </w:r>
      <w:r w:rsidRPr="009C5D97">
        <w:rPr>
          <w:rFonts w:ascii="Times New Roman" w:hAnsi="Times New Roman"/>
          <w:color w:val="000000"/>
          <w:sz w:val="24"/>
          <w:szCs w:val="24"/>
        </w:rPr>
        <w:t>градежништвото се намалија, услужниот сектор продолжи со својот пост-КОВИД тренд на силно годишно зголемување. Во првата половина од 2023 година годишниот раст на БДП</w:t>
      </w:r>
      <w:r>
        <w:rPr>
          <w:rFonts w:ascii="Times New Roman" w:hAnsi="Times New Roman"/>
          <w:color w:val="000000"/>
          <w:sz w:val="24"/>
          <w:szCs w:val="24"/>
        </w:rPr>
        <w:t>,</w:t>
      </w:r>
      <w:r w:rsidRPr="009C5D97">
        <w:rPr>
          <w:rFonts w:ascii="Times New Roman" w:hAnsi="Times New Roman"/>
          <w:color w:val="000000"/>
          <w:sz w:val="24"/>
          <w:szCs w:val="24"/>
        </w:rPr>
        <w:t xml:space="preserve"> во просек</w:t>
      </w:r>
      <w:r>
        <w:rPr>
          <w:rFonts w:ascii="Times New Roman" w:hAnsi="Times New Roman"/>
          <w:color w:val="000000"/>
          <w:sz w:val="24"/>
          <w:szCs w:val="24"/>
        </w:rPr>
        <w:t>,</w:t>
      </w:r>
      <w:r w:rsidRPr="009C5D97">
        <w:rPr>
          <w:rFonts w:ascii="Times New Roman" w:hAnsi="Times New Roman"/>
          <w:color w:val="000000"/>
          <w:sz w:val="24"/>
          <w:szCs w:val="24"/>
        </w:rPr>
        <w:t xml:space="preserve"> се намали за 1,6</w:t>
      </w:r>
      <w:r>
        <w:rPr>
          <w:rFonts w:ascii="Times New Roman" w:hAnsi="Times New Roman"/>
          <w:color w:val="000000"/>
          <w:sz w:val="24"/>
          <w:szCs w:val="24"/>
        </w:rPr>
        <w:t xml:space="preserve"> </w:t>
      </w:r>
      <w:r w:rsidRPr="009C5D97">
        <w:rPr>
          <w:rFonts w:ascii="Times New Roman" w:hAnsi="Times New Roman"/>
          <w:color w:val="000000"/>
          <w:sz w:val="24"/>
          <w:szCs w:val="24"/>
        </w:rPr>
        <w:t xml:space="preserve">%. </w:t>
      </w:r>
      <w:r w:rsidRPr="00085923">
        <w:rPr>
          <w:rFonts w:ascii="Times New Roman" w:hAnsi="Times New Roman"/>
          <w:color w:val="000000"/>
          <w:sz w:val="24"/>
          <w:szCs w:val="24"/>
        </w:rPr>
        <w:t>Конвергенцијата</w:t>
      </w:r>
      <w:r w:rsidRPr="009C5D97">
        <w:rPr>
          <w:rFonts w:ascii="Times New Roman" w:hAnsi="Times New Roman"/>
          <w:color w:val="000000"/>
          <w:sz w:val="24"/>
          <w:szCs w:val="24"/>
        </w:rPr>
        <w:t xml:space="preserve"> со нивоата на приход на ЕУ е бавна, со просечен пораст на реалниот БДП по жител од 37</w:t>
      </w:r>
      <w:r>
        <w:rPr>
          <w:rFonts w:ascii="Times New Roman" w:hAnsi="Times New Roman"/>
          <w:color w:val="000000"/>
          <w:sz w:val="24"/>
          <w:szCs w:val="24"/>
        </w:rPr>
        <w:t xml:space="preserve"> </w:t>
      </w:r>
      <w:r w:rsidRPr="009C5D97">
        <w:rPr>
          <w:rFonts w:ascii="Times New Roman" w:hAnsi="Times New Roman"/>
          <w:color w:val="000000"/>
          <w:sz w:val="24"/>
          <w:szCs w:val="24"/>
        </w:rPr>
        <w:t>% на ЕУ-27 во 2017 година на 42</w:t>
      </w:r>
      <w:r>
        <w:rPr>
          <w:rFonts w:ascii="Times New Roman" w:hAnsi="Times New Roman"/>
          <w:color w:val="000000"/>
          <w:sz w:val="24"/>
          <w:szCs w:val="24"/>
        </w:rPr>
        <w:t xml:space="preserve"> </w:t>
      </w:r>
      <w:r w:rsidRPr="009C5D97">
        <w:rPr>
          <w:rFonts w:ascii="Times New Roman" w:hAnsi="Times New Roman"/>
          <w:color w:val="000000"/>
          <w:sz w:val="24"/>
          <w:szCs w:val="24"/>
        </w:rPr>
        <w:t xml:space="preserve">% во 2022 година. </w:t>
      </w:r>
    </w:p>
    <w:p w:rsidR="009768C4" w:rsidRPr="009C5D97" w:rsidRDefault="00397C4A" w:rsidP="00A661C4">
      <w:pPr>
        <w:shd w:val="clear" w:color="auto" w:fill="FFFFFF"/>
        <w:spacing w:before="120" w:after="120" w:line="240" w:lineRule="auto"/>
        <w:jc w:val="both"/>
        <w:rPr>
          <w:rFonts w:ascii="Times New Roman" w:hAnsi="Times New Roman"/>
          <w:sz w:val="24"/>
          <w:szCs w:val="24"/>
        </w:rPr>
      </w:pPr>
      <w:r>
        <w:rPr>
          <w:rFonts w:ascii="Times New Roman" w:hAnsi="Times New Roman"/>
          <w:noProof/>
          <w:color w:val="000000"/>
          <w:sz w:val="24"/>
          <w:szCs w:val="24"/>
          <w:lang w:val="en-GB" w:eastAsia="en-GB"/>
        </w:rPr>
        <w:drawing>
          <wp:anchor distT="0" distB="0" distL="114300" distR="114300" simplePos="0" relativeHeight="251664384" behindDoc="0" locked="0" layoutInCell="1" allowOverlap="1" wp14:anchorId="0A67530E" wp14:editId="647DBC48">
            <wp:simplePos x="0" y="0"/>
            <wp:positionH relativeFrom="margin">
              <wp:posOffset>2720340</wp:posOffset>
            </wp:positionH>
            <wp:positionV relativeFrom="margin">
              <wp:posOffset>2591669</wp:posOffset>
            </wp:positionV>
            <wp:extent cx="3011170" cy="18103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2_M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1170" cy="1810385"/>
                    </a:xfrm>
                    <a:prstGeom prst="rect">
                      <a:avLst/>
                    </a:prstGeom>
                  </pic:spPr>
                </pic:pic>
              </a:graphicData>
            </a:graphic>
          </wp:anchor>
        </w:drawing>
      </w:r>
      <w:r w:rsidR="009768C4" w:rsidRPr="009C5D97">
        <w:rPr>
          <w:rFonts w:ascii="Times New Roman" w:hAnsi="Times New Roman"/>
          <w:b/>
          <w:bCs/>
          <w:color w:val="000000"/>
          <w:sz w:val="24"/>
          <w:szCs w:val="24"/>
        </w:rPr>
        <w:t xml:space="preserve">Надворешната позиција се влоши во 2022 година имајќи ја предвид големата зависност на земјата од увоз на енергија и растот на увозните цени. </w:t>
      </w:r>
      <w:r w:rsidR="009768C4" w:rsidRPr="009C5D97">
        <w:rPr>
          <w:rFonts w:ascii="Times New Roman" w:hAnsi="Times New Roman"/>
          <w:color w:val="000000"/>
          <w:sz w:val="24"/>
          <w:szCs w:val="24"/>
        </w:rPr>
        <w:t>Во 2022 година дефицитот на тековната сметка значително се зголеми на 6</w:t>
      </w:r>
      <w:r w:rsidR="009768C4">
        <w:rPr>
          <w:rFonts w:ascii="Times New Roman" w:hAnsi="Times New Roman"/>
          <w:color w:val="000000"/>
          <w:sz w:val="24"/>
          <w:szCs w:val="24"/>
        </w:rPr>
        <w:t xml:space="preserve"> </w:t>
      </w:r>
      <w:r w:rsidR="009768C4" w:rsidRPr="009C5D97">
        <w:rPr>
          <w:rFonts w:ascii="Times New Roman" w:hAnsi="Times New Roman"/>
          <w:color w:val="000000"/>
          <w:sz w:val="24"/>
          <w:szCs w:val="24"/>
        </w:rPr>
        <w:t>% од БДП од 3,1</w:t>
      </w:r>
      <w:r w:rsidR="009768C4">
        <w:rPr>
          <w:rFonts w:ascii="Times New Roman" w:hAnsi="Times New Roman"/>
          <w:color w:val="000000"/>
          <w:sz w:val="24"/>
          <w:szCs w:val="24"/>
        </w:rPr>
        <w:t xml:space="preserve"> </w:t>
      </w:r>
      <w:r w:rsidR="009768C4" w:rsidRPr="009C5D97">
        <w:rPr>
          <w:rFonts w:ascii="Times New Roman" w:hAnsi="Times New Roman"/>
          <w:color w:val="000000"/>
          <w:sz w:val="24"/>
          <w:szCs w:val="24"/>
        </w:rPr>
        <w:t>% во 2021 година, многу над неговиот просек во периодот пред КОВИД-19 од 2017 до 2019 година (1,5</w:t>
      </w:r>
      <w:r w:rsidR="009768C4">
        <w:rPr>
          <w:rFonts w:ascii="Times New Roman" w:hAnsi="Times New Roman"/>
          <w:color w:val="000000"/>
          <w:sz w:val="24"/>
          <w:szCs w:val="24"/>
        </w:rPr>
        <w:t xml:space="preserve"> </w:t>
      </w:r>
      <w:r w:rsidR="009768C4" w:rsidRPr="009C5D97">
        <w:rPr>
          <w:rFonts w:ascii="Times New Roman" w:hAnsi="Times New Roman"/>
          <w:color w:val="000000"/>
          <w:sz w:val="24"/>
          <w:szCs w:val="24"/>
        </w:rPr>
        <w:t>%).</w:t>
      </w:r>
      <w:r w:rsidR="009768C4">
        <w:rPr>
          <w:rFonts w:ascii="Times New Roman" w:hAnsi="Times New Roman"/>
          <w:color w:val="000000"/>
          <w:sz w:val="24"/>
          <w:szCs w:val="24"/>
        </w:rPr>
        <w:t xml:space="preserve"> </w:t>
      </w:r>
      <w:r w:rsidR="009768C4" w:rsidRPr="009C5D97">
        <w:rPr>
          <w:rFonts w:ascii="Times New Roman" w:hAnsi="Times New Roman"/>
          <w:color w:val="000000"/>
          <w:sz w:val="24"/>
          <w:szCs w:val="24"/>
        </w:rPr>
        <w:t xml:space="preserve">Ова зголемување се должи на зголемениот трговски дефицит со енергија што е одраз на високата зависност на земјата од увозот на енергија и од превисоките меѓународни цени на енергијата. Дополнително, во несигурна средина, компаниите ги акумулираат своите резерви на увезени средства за производство. </w:t>
      </w:r>
      <w:r w:rsidR="009768C4" w:rsidRPr="00085923">
        <w:rPr>
          <w:rFonts w:ascii="Times New Roman" w:hAnsi="Times New Roman"/>
          <w:color w:val="000000"/>
          <w:sz w:val="24"/>
          <w:szCs w:val="24"/>
        </w:rPr>
        <w:t>Влошувањето на</w:t>
      </w:r>
      <w:r w:rsidR="009768C4" w:rsidRPr="00085923">
        <w:rPr>
          <w:rFonts w:ascii="Times New Roman" w:hAnsi="Times New Roman"/>
          <w:sz w:val="24"/>
          <w:szCs w:val="24"/>
        </w:rPr>
        <w:t xml:space="preserve"> </w:t>
      </w:r>
      <w:r w:rsidR="009768C4" w:rsidRPr="00F644E2">
        <w:rPr>
          <w:rFonts w:ascii="Times New Roman" w:hAnsi="Times New Roman"/>
          <w:color w:val="000000"/>
          <w:sz w:val="24"/>
          <w:szCs w:val="24"/>
        </w:rPr>
        <w:t xml:space="preserve">енергетскиот и трговскиот биланс во 2022 година делумно </w:t>
      </w:r>
      <w:r w:rsidR="009768C4" w:rsidRPr="00F35ECC">
        <w:rPr>
          <w:rFonts w:ascii="Times New Roman" w:hAnsi="Times New Roman"/>
          <w:color w:val="000000"/>
          <w:sz w:val="24"/>
          <w:szCs w:val="24"/>
        </w:rPr>
        <w:t>б</w:t>
      </w:r>
      <w:r w:rsidR="009768C4" w:rsidRPr="00085923">
        <w:rPr>
          <w:rFonts w:ascii="Times New Roman" w:hAnsi="Times New Roman"/>
          <w:color w:val="000000"/>
          <w:sz w:val="24"/>
          <w:szCs w:val="24"/>
        </w:rPr>
        <w:t xml:space="preserve">еше </w:t>
      </w:r>
      <w:r w:rsidR="009768C4" w:rsidRPr="00F644E2">
        <w:rPr>
          <w:rFonts w:ascii="Times New Roman" w:hAnsi="Times New Roman"/>
          <w:color w:val="000000"/>
          <w:sz w:val="24"/>
          <w:szCs w:val="24"/>
        </w:rPr>
        <w:t>покрие</w:t>
      </w:r>
      <w:r w:rsidR="009768C4" w:rsidRPr="00721A72">
        <w:rPr>
          <w:rFonts w:ascii="Times New Roman" w:hAnsi="Times New Roman"/>
          <w:color w:val="000000"/>
          <w:sz w:val="24"/>
          <w:szCs w:val="24"/>
        </w:rPr>
        <w:t>но</w:t>
      </w:r>
      <w:r w:rsidR="009768C4" w:rsidRPr="009C5D97">
        <w:rPr>
          <w:rFonts w:ascii="Times New Roman" w:hAnsi="Times New Roman"/>
          <w:color w:val="000000"/>
          <w:sz w:val="24"/>
          <w:szCs w:val="24"/>
        </w:rPr>
        <w:t xml:space="preserve"> со значително зголемување на приватните трансфери (дознаки) и на суфицитот во услугите потпомогнат од закрепнувањето на туризмот. Во првата половина од 2023 година трговскиот дефицит значително се намали, во годишни бројки, </w:t>
      </w:r>
      <w:r w:rsidR="009768C4">
        <w:rPr>
          <w:rFonts w:ascii="Times New Roman" w:hAnsi="Times New Roman"/>
          <w:color w:val="000000"/>
          <w:sz w:val="24"/>
          <w:szCs w:val="24"/>
        </w:rPr>
        <w:t>а</w:t>
      </w:r>
      <w:r w:rsidR="009768C4" w:rsidRPr="009C5D97">
        <w:rPr>
          <w:rFonts w:ascii="Times New Roman" w:hAnsi="Times New Roman"/>
          <w:color w:val="000000"/>
          <w:sz w:val="24"/>
          <w:szCs w:val="24"/>
        </w:rPr>
        <w:t xml:space="preserve"> во голема мера </w:t>
      </w:r>
      <w:r w:rsidR="009768C4" w:rsidRPr="00085923">
        <w:rPr>
          <w:rFonts w:ascii="Times New Roman" w:hAnsi="Times New Roman"/>
          <w:color w:val="000000"/>
          <w:sz w:val="24"/>
          <w:szCs w:val="24"/>
        </w:rPr>
        <w:t>го отсликува</w:t>
      </w:r>
      <w:r w:rsidR="009768C4" w:rsidRPr="009C5D97">
        <w:rPr>
          <w:rFonts w:ascii="Times New Roman" w:hAnsi="Times New Roman"/>
          <w:color w:val="000000"/>
          <w:sz w:val="24"/>
          <w:szCs w:val="24"/>
        </w:rPr>
        <w:t xml:space="preserve"> падот на цените за увоз на енергија што доведе до значително подобрување во билансот на тековната сметка. Приливот на странски директни инвестиции (СДИ) повторно порасна по падот предизвикан од пандемијата на КОВИД-19 и во 2022 година се зголеми на 5,2</w:t>
      </w:r>
      <w:r w:rsidR="009768C4">
        <w:rPr>
          <w:rFonts w:ascii="Times New Roman" w:hAnsi="Times New Roman"/>
          <w:color w:val="000000"/>
          <w:sz w:val="24"/>
          <w:szCs w:val="24"/>
        </w:rPr>
        <w:t xml:space="preserve"> </w:t>
      </w:r>
      <w:r w:rsidR="009768C4" w:rsidRPr="009C5D97">
        <w:rPr>
          <w:rFonts w:ascii="Times New Roman" w:hAnsi="Times New Roman"/>
          <w:color w:val="000000"/>
          <w:sz w:val="24"/>
          <w:szCs w:val="24"/>
        </w:rPr>
        <w:t>% од БДП</w:t>
      </w:r>
      <w:r w:rsidR="009768C4">
        <w:rPr>
          <w:rFonts w:ascii="Times New Roman" w:hAnsi="Times New Roman"/>
          <w:color w:val="000000"/>
          <w:sz w:val="24"/>
          <w:szCs w:val="24"/>
        </w:rPr>
        <w:t>,</w:t>
      </w:r>
      <w:r w:rsidR="009768C4" w:rsidRPr="009C5D97">
        <w:rPr>
          <w:rFonts w:ascii="Times New Roman" w:hAnsi="Times New Roman"/>
          <w:color w:val="000000"/>
          <w:sz w:val="24"/>
          <w:szCs w:val="24"/>
        </w:rPr>
        <w:t xml:space="preserve"> со што речиси го покри растечкиот дефицит. На крајот на 2022 година надворешниот долг изнесува</w:t>
      </w:r>
      <w:r w:rsidR="009768C4">
        <w:rPr>
          <w:rFonts w:ascii="Times New Roman" w:hAnsi="Times New Roman"/>
          <w:color w:val="000000"/>
          <w:sz w:val="24"/>
          <w:szCs w:val="24"/>
        </w:rPr>
        <w:t>л</w:t>
      </w:r>
      <w:r w:rsidR="009768C4" w:rsidRPr="009C5D97">
        <w:rPr>
          <w:rFonts w:ascii="Times New Roman" w:hAnsi="Times New Roman"/>
          <w:color w:val="000000"/>
          <w:sz w:val="24"/>
          <w:szCs w:val="24"/>
        </w:rPr>
        <w:t xml:space="preserve"> 84,3</w:t>
      </w:r>
      <w:r w:rsidR="009768C4">
        <w:rPr>
          <w:rFonts w:ascii="Times New Roman" w:hAnsi="Times New Roman"/>
          <w:color w:val="000000"/>
          <w:sz w:val="24"/>
          <w:szCs w:val="24"/>
        </w:rPr>
        <w:t xml:space="preserve"> </w:t>
      </w:r>
      <w:r w:rsidR="009768C4" w:rsidRPr="009C5D97">
        <w:rPr>
          <w:rFonts w:ascii="Times New Roman" w:hAnsi="Times New Roman"/>
          <w:color w:val="000000"/>
          <w:sz w:val="24"/>
          <w:szCs w:val="24"/>
        </w:rPr>
        <w:t>% од БДП (+2,3 процентни поени (пп) годишно), а долгорочниот долг е најголемиот дел од вкупниот износ (70</w:t>
      </w:r>
      <w:r w:rsidR="009768C4">
        <w:rPr>
          <w:rFonts w:ascii="Times New Roman" w:hAnsi="Times New Roman"/>
          <w:color w:val="000000"/>
          <w:sz w:val="24"/>
          <w:szCs w:val="24"/>
        </w:rPr>
        <w:t xml:space="preserve"> </w:t>
      </w:r>
      <w:r w:rsidR="009768C4" w:rsidRPr="009C5D97">
        <w:rPr>
          <w:rFonts w:ascii="Times New Roman" w:hAnsi="Times New Roman"/>
          <w:color w:val="000000"/>
          <w:sz w:val="24"/>
          <w:szCs w:val="24"/>
        </w:rPr>
        <w:t>%). Зголемувањето во голема мера се долж</w:t>
      </w:r>
      <w:r w:rsidR="009768C4">
        <w:rPr>
          <w:rFonts w:ascii="Times New Roman" w:hAnsi="Times New Roman"/>
          <w:color w:val="000000"/>
          <w:sz w:val="24"/>
          <w:szCs w:val="24"/>
        </w:rPr>
        <w:t>и</w:t>
      </w:r>
      <w:r w:rsidR="009768C4" w:rsidRPr="009C5D97">
        <w:rPr>
          <w:rFonts w:ascii="Times New Roman" w:hAnsi="Times New Roman"/>
          <w:color w:val="000000"/>
          <w:sz w:val="24"/>
          <w:szCs w:val="24"/>
        </w:rPr>
        <w:t xml:space="preserve"> на растот на приватното меѓукомпаниско кредитирање што е важен инструмент за подобрување на ликвидноста на странските компании во земјата. Околу 40</w:t>
      </w:r>
      <w:r w:rsidR="009768C4">
        <w:rPr>
          <w:rFonts w:ascii="Times New Roman" w:hAnsi="Times New Roman"/>
          <w:color w:val="000000"/>
          <w:sz w:val="24"/>
          <w:szCs w:val="24"/>
        </w:rPr>
        <w:t xml:space="preserve"> </w:t>
      </w:r>
      <w:r w:rsidR="009768C4" w:rsidRPr="009C5D97">
        <w:rPr>
          <w:rFonts w:ascii="Times New Roman" w:hAnsi="Times New Roman"/>
          <w:color w:val="000000"/>
          <w:sz w:val="24"/>
          <w:szCs w:val="24"/>
        </w:rPr>
        <w:t>% од вкупниот надворешен долг се состои од меѓукомпаниски заеми и трговски кредити што е помалку ризична и пофлексибилна категорија долг.</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b/>
          <w:bCs/>
          <w:color w:val="000000"/>
          <w:sz w:val="24"/>
          <w:szCs w:val="24"/>
        </w:rPr>
        <w:t>Девизните резерви значително закрепнаа по притисоците во првата половина од 2022 година.</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Девизните пазари имаа сериозен пад во првата половина од 2022 година (-14</w:t>
      </w:r>
      <w:r>
        <w:rPr>
          <w:rFonts w:ascii="Times New Roman" w:hAnsi="Times New Roman"/>
          <w:color w:val="000000"/>
          <w:sz w:val="24"/>
          <w:szCs w:val="24"/>
        </w:rPr>
        <w:t xml:space="preserve"> </w:t>
      </w:r>
      <w:r w:rsidRPr="009C5D97">
        <w:rPr>
          <w:rFonts w:ascii="Times New Roman" w:hAnsi="Times New Roman"/>
          <w:color w:val="000000"/>
          <w:sz w:val="24"/>
          <w:szCs w:val="24"/>
        </w:rPr>
        <w:t xml:space="preserve">% годишно на крајот на јуни 2022 година), главно поради зголемената </w:t>
      </w:r>
      <w:r w:rsidRPr="00F644E2">
        <w:rPr>
          <w:rFonts w:ascii="Times New Roman" w:hAnsi="Times New Roman"/>
          <w:color w:val="000000"/>
          <w:sz w:val="24"/>
          <w:szCs w:val="24"/>
        </w:rPr>
        <w:t>конверзија</w:t>
      </w:r>
      <w:r w:rsidRPr="009C5D97">
        <w:rPr>
          <w:rFonts w:ascii="Times New Roman" w:hAnsi="Times New Roman"/>
          <w:color w:val="000000"/>
          <w:sz w:val="24"/>
          <w:szCs w:val="24"/>
        </w:rPr>
        <w:t xml:space="preserve"> на домашните заштеди </w:t>
      </w:r>
      <w:r w:rsidRPr="00F644E2">
        <w:rPr>
          <w:rFonts w:ascii="Times New Roman" w:hAnsi="Times New Roman"/>
          <w:color w:val="000000"/>
          <w:sz w:val="24"/>
          <w:szCs w:val="24"/>
        </w:rPr>
        <w:t>деноминирани во денари во депозити деноминирани во евра</w:t>
      </w:r>
      <w:r w:rsidRPr="009C5D97">
        <w:rPr>
          <w:rFonts w:ascii="Times New Roman" w:hAnsi="Times New Roman"/>
          <w:color w:val="000000"/>
          <w:sz w:val="24"/>
          <w:szCs w:val="24"/>
        </w:rPr>
        <w:t>, зголемениот увоз на енергија и високите исплати на надворешниот долг. Сепак, след</w:t>
      </w:r>
      <w:r>
        <w:rPr>
          <w:rFonts w:ascii="Times New Roman" w:hAnsi="Times New Roman"/>
          <w:color w:val="000000"/>
          <w:sz w:val="24"/>
          <w:szCs w:val="24"/>
        </w:rPr>
        <w:t>и</w:t>
      </w:r>
      <w:r w:rsidRPr="009C5D97">
        <w:rPr>
          <w:rFonts w:ascii="Times New Roman" w:hAnsi="Times New Roman"/>
          <w:color w:val="000000"/>
          <w:sz w:val="24"/>
          <w:szCs w:val="24"/>
        </w:rPr>
        <w:t xml:space="preserve"> стабилизирање на девизните пазари поткрепено со добра</w:t>
      </w:r>
      <w:r>
        <w:rPr>
          <w:rFonts w:ascii="Times New Roman" w:hAnsi="Times New Roman"/>
          <w:color w:val="000000"/>
          <w:sz w:val="24"/>
          <w:szCs w:val="24"/>
        </w:rPr>
        <w:t>та</w:t>
      </w:r>
      <w:r w:rsidRPr="009C5D97">
        <w:rPr>
          <w:rFonts w:ascii="Times New Roman" w:hAnsi="Times New Roman"/>
          <w:color w:val="000000"/>
          <w:sz w:val="24"/>
          <w:szCs w:val="24"/>
        </w:rPr>
        <w:t xml:space="preserve"> туристичка сезона во 2022 година, задолжување на надворешниот пазар, вклучително и приватна емисија на државни хартии од вредност во Германија во износ од 250 милиони евра во 2022 година и издавање Еврообврзница од 500 милиони евра во март 2023 година, како и исплата на првата рата од аранжманот под Линијата за претпазливост и ликвидност (ЛПЛ) на ММФ. Приливите од странските директни инвестиции се зголем</w:t>
      </w:r>
      <w:r>
        <w:rPr>
          <w:rFonts w:ascii="Times New Roman" w:hAnsi="Times New Roman"/>
          <w:color w:val="000000"/>
          <w:sz w:val="24"/>
          <w:szCs w:val="24"/>
        </w:rPr>
        <w:t>ени</w:t>
      </w:r>
      <w:r w:rsidRPr="009C5D97">
        <w:rPr>
          <w:rFonts w:ascii="Times New Roman" w:hAnsi="Times New Roman"/>
          <w:color w:val="000000"/>
          <w:sz w:val="24"/>
          <w:szCs w:val="24"/>
        </w:rPr>
        <w:t xml:space="preserve"> во 2022 година со што се премина јазот предизвикан од пандемијата, но се сти</w:t>
      </w:r>
      <w:r>
        <w:rPr>
          <w:rFonts w:ascii="Times New Roman" w:hAnsi="Times New Roman"/>
          <w:color w:val="000000"/>
          <w:sz w:val="24"/>
          <w:szCs w:val="24"/>
        </w:rPr>
        <w:t>внаа</w:t>
      </w:r>
      <w:r w:rsidRPr="009C5D97">
        <w:rPr>
          <w:rFonts w:ascii="Times New Roman" w:hAnsi="Times New Roman"/>
          <w:color w:val="000000"/>
          <w:sz w:val="24"/>
          <w:szCs w:val="24"/>
        </w:rPr>
        <w:t xml:space="preserve"> во 2023 година</w:t>
      </w:r>
      <w:r w:rsidRPr="00F644E2">
        <w:rPr>
          <w:rFonts w:ascii="Times New Roman" w:hAnsi="Times New Roman"/>
          <w:color w:val="000000"/>
          <w:sz w:val="24"/>
          <w:szCs w:val="24"/>
        </w:rPr>
        <w:t>, досега</w:t>
      </w:r>
      <w:r w:rsidRPr="009C5D97">
        <w:rPr>
          <w:rFonts w:ascii="Times New Roman" w:hAnsi="Times New Roman"/>
          <w:color w:val="000000"/>
          <w:sz w:val="24"/>
          <w:szCs w:val="24"/>
        </w:rPr>
        <w:t>. Во јули 2023 година Странските резерви повторно се намал</w:t>
      </w:r>
      <w:r>
        <w:rPr>
          <w:rFonts w:ascii="Times New Roman" w:hAnsi="Times New Roman"/>
          <w:color w:val="000000"/>
          <w:sz w:val="24"/>
          <w:szCs w:val="24"/>
        </w:rPr>
        <w:t>ени</w:t>
      </w:r>
      <w:r w:rsidRPr="009C5D97">
        <w:rPr>
          <w:rFonts w:ascii="Times New Roman" w:hAnsi="Times New Roman"/>
          <w:color w:val="000000"/>
          <w:sz w:val="24"/>
          <w:szCs w:val="24"/>
        </w:rPr>
        <w:t xml:space="preserve"> со откупувањето на Еврообврзницата од 2016 година. На крајот на август 2023 година тие </w:t>
      </w:r>
      <w:r>
        <w:rPr>
          <w:rFonts w:ascii="Times New Roman" w:hAnsi="Times New Roman"/>
          <w:color w:val="000000"/>
          <w:sz w:val="24"/>
          <w:szCs w:val="24"/>
        </w:rPr>
        <w:t>се</w:t>
      </w:r>
      <w:r w:rsidRPr="009C5D97">
        <w:rPr>
          <w:rFonts w:ascii="Times New Roman" w:hAnsi="Times New Roman"/>
          <w:color w:val="000000"/>
          <w:sz w:val="24"/>
          <w:szCs w:val="24"/>
        </w:rPr>
        <w:t xml:space="preserve"> повисоки за 26</w:t>
      </w:r>
      <w:r>
        <w:rPr>
          <w:rFonts w:ascii="Times New Roman" w:hAnsi="Times New Roman"/>
          <w:color w:val="000000"/>
          <w:sz w:val="24"/>
          <w:szCs w:val="24"/>
        </w:rPr>
        <w:t xml:space="preserve"> </w:t>
      </w:r>
      <w:r w:rsidRPr="009C5D97">
        <w:rPr>
          <w:rFonts w:ascii="Times New Roman" w:hAnsi="Times New Roman"/>
          <w:color w:val="000000"/>
          <w:sz w:val="24"/>
          <w:szCs w:val="24"/>
        </w:rPr>
        <w:t xml:space="preserve">% годишно што соодветствува на околу </w:t>
      </w:r>
      <w:r>
        <w:rPr>
          <w:rFonts w:ascii="Times New Roman" w:hAnsi="Times New Roman"/>
          <w:color w:val="000000"/>
          <w:sz w:val="24"/>
          <w:szCs w:val="24"/>
        </w:rPr>
        <w:t>четири</w:t>
      </w:r>
      <w:r w:rsidRPr="009C5D97">
        <w:rPr>
          <w:rFonts w:ascii="Times New Roman" w:hAnsi="Times New Roman"/>
          <w:color w:val="000000"/>
          <w:sz w:val="24"/>
          <w:szCs w:val="24"/>
        </w:rPr>
        <w:t xml:space="preserve"> месеци потенцијален увоз. Денарот остана во стабилен </w:t>
      </w:r>
      <w:r w:rsidRPr="009C5D97">
        <w:rPr>
          <w:rFonts w:ascii="Times New Roman" w:hAnsi="Times New Roman"/>
          <w:i/>
          <w:iCs/>
          <w:color w:val="000000"/>
          <w:sz w:val="24"/>
          <w:szCs w:val="24"/>
        </w:rPr>
        <w:t>де факто</w:t>
      </w:r>
      <w:r w:rsidRPr="009C5D97">
        <w:rPr>
          <w:rFonts w:ascii="Times New Roman" w:hAnsi="Times New Roman"/>
          <w:color w:val="000000"/>
          <w:sz w:val="24"/>
          <w:szCs w:val="24"/>
        </w:rPr>
        <w:t xml:space="preserve"> режим врзан со девизниот курс на еврото.</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b/>
          <w:bCs/>
          <w:color w:val="000000"/>
          <w:sz w:val="24"/>
          <w:szCs w:val="24"/>
        </w:rPr>
        <w:t xml:space="preserve">Монетарната политика беше соодветно затегната со оглед на постојаната инфлација. </w:t>
      </w:r>
      <w:r w:rsidRPr="009C5D97">
        <w:rPr>
          <w:rFonts w:ascii="Times New Roman" w:hAnsi="Times New Roman"/>
          <w:color w:val="000000"/>
          <w:sz w:val="24"/>
          <w:szCs w:val="24"/>
        </w:rPr>
        <w:t>Годишната просечна инфлација во 2022 година беше на рекордно ниво од 14,2</w:t>
      </w:r>
      <w:r>
        <w:rPr>
          <w:rFonts w:ascii="Times New Roman" w:hAnsi="Times New Roman"/>
          <w:color w:val="000000"/>
          <w:sz w:val="24"/>
          <w:szCs w:val="24"/>
        </w:rPr>
        <w:t xml:space="preserve"> </w:t>
      </w:r>
      <w:r w:rsidRPr="009C5D97">
        <w:rPr>
          <w:rFonts w:ascii="Times New Roman" w:hAnsi="Times New Roman"/>
          <w:color w:val="000000"/>
          <w:sz w:val="24"/>
          <w:szCs w:val="24"/>
        </w:rPr>
        <w:t>% предводена од глобалниот ценовен шок на енергијата и храната. Годишната стапка на инфлација го достигна максимумот од 19,8</w:t>
      </w:r>
      <w:r>
        <w:rPr>
          <w:rFonts w:ascii="Times New Roman" w:hAnsi="Times New Roman"/>
          <w:color w:val="000000"/>
          <w:sz w:val="24"/>
          <w:szCs w:val="24"/>
        </w:rPr>
        <w:t xml:space="preserve"> </w:t>
      </w:r>
      <w:r w:rsidRPr="009C5D97">
        <w:rPr>
          <w:rFonts w:ascii="Times New Roman" w:hAnsi="Times New Roman"/>
          <w:color w:val="000000"/>
          <w:sz w:val="24"/>
          <w:szCs w:val="24"/>
        </w:rPr>
        <w:t>% во октомври 2022 година, што беше повеќе од сличните земји во регионот, пред значително да се намали и да достигне 8,3</w:t>
      </w:r>
      <w:r>
        <w:rPr>
          <w:rFonts w:ascii="Times New Roman" w:hAnsi="Times New Roman"/>
          <w:color w:val="000000"/>
          <w:sz w:val="24"/>
          <w:szCs w:val="24"/>
        </w:rPr>
        <w:t xml:space="preserve"> </w:t>
      </w:r>
      <w:r w:rsidRPr="009C5D97">
        <w:rPr>
          <w:rFonts w:ascii="Times New Roman" w:hAnsi="Times New Roman"/>
          <w:color w:val="000000"/>
          <w:sz w:val="24"/>
          <w:szCs w:val="24"/>
        </w:rPr>
        <w:t xml:space="preserve">% во август 2023 година. Сепак, основната инфлација остана долготрајна што </w:t>
      </w:r>
      <w:r>
        <w:rPr>
          <w:rFonts w:ascii="Times New Roman" w:hAnsi="Times New Roman"/>
          <w:color w:val="000000"/>
          <w:sz w:val="24"/>
          <w:szCs w:val="24"/>
        </w:rPr>
        <w:t>е одраз на</w:t>
      </w:r>
      <w:r w:rsidRPr="009C5D97">
        <w:rPr>
          <w:rFonts w:ascii="Times New Roman" w:hAnsi="Times New Roman"/>
          <w:color w:val="000000"/>
          <w:sz w:val="24"/>
          <w:szCs w:val="24"/>
        </w:rPr>
        <w:t xml:space="preserve"> преносот од не</w:t>
      </w:r>
      <w:r w:rsidR="00721A72">
        <w:rPr>
          <w:rFonts w:ascii="Times New Roman" w:hAnsi="Times New Roman"/>
          <w:color w:val="000000"/>
          <w:sz w:val="24"/>
          <w:szCs w:val="24"/>
        </w:rPr>
        <w:t>о</w:t>
      </w:r>
      <w:r w:rsidRPr="009C5D97">
        <w:rPr>
          <w:rFonts w:ascii="Times New Roman" w:hAnsi="Times New Roman"/>
          <w:color w:val="000000"/>
          <w:sz w:val="24"/>
          <w:szCs w:val="24"/>
        </w:rPr>
        <w:t>дамнешните зголемувања на цените на енергијата во основните сектори на економијата</w:t>
      </w:r>
      <w:r>
        <w:rPr>
          <w:rFonts w:ascii="Times New Roman" w:hAnsi="Times New Roman"/>
          <w:color w:val="000000"/>
          <w:sz w:val="24"/>
          <w:szCs w:val="24"/>
        </w:rPr>
        <w:t>,</w:t>
      </w:r>
      <w:r w:rsidRPr="009C5D97">
        <w:rPr>
          <w:rFonts w:ascii="Times New Roman" w:hAnsi="Times New Roman"/>
          <w:color w:val="000000"/>
          <w:sz w:val="24"/>
          <w:szCs w:val="24"/>
        </w:rPr>
        <w:t xml:space="preserve"> како што се индустриското производство, транспортот и хотелите и рестораните. Соодветно, </w:t>
      </w:r>
      <w:r>
        <w:rPr>
          <w:rFonts w:ascii="Times New Roman" w:hAnsi="Times New Roman"/>
          <w:color w:val="000000"/>
          <w:sz w:val="24"/>
          <w:szCs w:val="24"/>
        </w:rPr>
        <w:t>Ц</w:t>
      </w:r>
      <w:r w:rsidRPr="009C5D97">
        <w:rPr>
          <w:rFonts w:ascii="Times New Roman" w:hAnsi="Times New Roman"/>
          <w:color w:val="000000"/>
          <w:sz w:val="24"/>
          <w:szCs w:val="24"/>
        </w:rPr>
        <w:t>ентралната банка продолжи со својата строга монетарна политика во текот на 2022 година и понатаму. Таа ја подигна каматната стапка за 495 базни поени во десет последователни чекори од април 2022 до август 2023 година, на 6,15</w:t>
      </w:r>
      <w:r>
        <w:rPr>
          <w:rFonts w:ascii="Times New Roman" w:hAnsi="Times New Roman"/>
          <w:color w:val="000000"/>
          <w:sz w:val="24"/>
          <w:szCs w:val="24"/>
        </w:rPr>
        <w:t xml:space="preserve"> </w:t>
      </w:r>
      <w:r w:rsidRPr="009C5D97">
        <w:rPr>
          <w:rFonts w:ascii="Times New Roman" w:hAnsi="Times New Roman"/>
          <w:color w:val="000000"/>
          <w:sz w:val="24"/>
          <w:szCs w:val="24"/>
        </w:rPr>
        <w:t>%</w:t>
      </w:r>
      <w:r>
        <w:rPr>
          <w:rFonts w:ascii="Times New Roman" w:hAnsi="Times New Roman"/>
          <w:color w:val="000000"/>
          <w:sz w:val="24"/>
          <w:szCs w:val="24"/>
        </w:rPr>
        <w:t>,</w:t>
      </w:r>
      <w:r w:rsidRPr="009C5D97">
        <w:rPr>
          <w:rFonts w:ascii="Times New Roman" w:hAnsi="Times New Roman"/>
          <w:color w:val="000000"/>
          <w:sz w:val="24"/>
          <w:szCs w:val="24"/>
        </w:rPr>
        <w:t xml:space="preserve"> со што го зголеми опсегот во однос на каматната стапка на Европската централна банка (ЕЦВ). Понатаму, таа ги приспособи стапките на задолжителни резерви во јуни и во септември 2022 година, како и во август 2023 година, за да ги дестимулира промените во депозити во евра што е значителен фактор зад падот на странските резерви на почетокот на 2022 година. Централната банка</w:t>
      </w:r>
      <w:r>
        <w:rPr>
          <w:rFonts w:ascii="Times New Roman" w:hAnsi="Times New Roman"/>
          <w:color w:val="000000"/>
          <w:sz w:val="24"/>
          <w:szCs w:val="24"/>
        </w:rPr>
        <w:t>,</w:t>
      </w:r>
      <w:r w:rsidRPr="009C5D97">
        <w:rPr>
          <w:rFonts w:ascii="Times New Roman" w:hAnsi="Times New Roman"/>
          <w:color w:val="000000"/>
          <w:sz w:val="24"/>
          <w:szCs w:val="24"/>
        </w:rPr>
        <w:t xml:space="preserve"> исто така</w:t>
      </w:r>
      <w:r>
        <w:rPr>
          <w:rFonts w:ascii="Times New Roman" w:hAnsi="Times New Roman"/>
          <w:color w:val="000000"/>
          <w:sz w:val="24"/>
          <w:szCs w:val="24"/>
        </w:rPr>
        <w:t>,</w:t>
      </w:r>
      <w:r w:rsidRPr="009C5D97">
        <w:rPr>
          <w:rFonts w:ascii="Times New Roman" w:hAnsi="Times New Roman"/>
          <w:color w:val="000000"/>
          <w:sz w:val="24"/>
          <w:szCs w:val="24"/>
        </w:rPr>
        <w:t xml:space="preserve"> ги олесни задолжителните резерви за зајмување на банките за проекти за обновлива енергија. Репо-линијата од ЕЦБ од 2020 година</w:t>
      </w:r>
      <w:r>
        <w:rPr>
          <w:rFonts w:ascii="Times New Roman" w:hAnsi="Times New Roman"/>
          <w:color w:val="000000"/>
          <w:sz w:val="24"/>
          <w:szCs w:val="24"/>
        </w:rPr>
        <w:t>,</w:t>
      </w:r>
      <w:r w:rsidRPr="009C5D97">
        <w:rPr>
          <w:rFonts w:ascii="Times New Roman" w:hAnsi="Times New Roman"/>
          <w:color w:val="000000"/>
          <w:sz w:val="24"/>
          <w:szCs w:val="24"/>
        </w:rPr>
        <w:t xml:space="preserve"> наменета да ѝ обезбеди ликвидност во евра на </w:t>
      </w:r>
      <w:r>
        <w:rPr>
          <w:rFonts w:ascii="Times New Roman" w:hAnsi="Times New Roman"/>
          <w:color w:val="000000"/>
          <w:sz w:val="24"/>
          <w:szCs w:val="24"/>
        </w:rPr>
        <w:t>Ц</w:t>
      </w:r>
      <w:r w:rsidRPr="009C5D97">
        <w:rPr>
          <w:rFonts w:ascii="Times New Roman" w:hAnsi="Times New Roman"/>
          <w:color w:val="000000"/>
          <w:sz w:val="24"/>
          <w:szCs w:val="24"/>
        </w:rPr>
        <w:t>ентралната банка</w:t>
      </w:r>
      <w:r>
        <w:rPr>
          <w:rFonts w:ascii="Times New Roman" w:hAnsi="Times New Roman"/>
          <w:color w:val="000000"/>
          <w:sz w:val="24"/>
          <w:szCs w:val="24"/>
        </w:rPr>
        <w:t xml:space="preserve">, </w:t>
      </w:r>
      <w:r w:rsidRPr="009C5D97">
        <w:rPr>
          <w:rFonts w:ascii="Times New Roman" w:hAnsi="Times New Roman"/>
          <w:color w:val="000000"/>
          <w:sz w:val="24"/>
          <w:szCs w:val="24"/>
        </w:rPr>
        <w:t xml:space="preserve">продолжена </w:t>
      </w:r>
      <w:r>
        <w:rPr>
          <w:rFonts w:ascii="Times New Roman" w:hAnsi="Times New Roman"/>
          <w:color w:val="000000"/>
          <w:sz w:val="24"/>
          <w:szCs w:val="24"/>
        </w:rPr>
        <w:t xml:space="preserve">е </w:t>
      </w:r>
      <w:r w:rsidRPr="009C5D97">
        <w:rPr>
          <w:rFonts w:ascii="Times New Roman" w:hAnsi="Times New Roman"/>
          <w:color w:val="000000"/>
          <w:sz w:val="24"/>
          <w:szCs w:val="24"/>
        </w:rPr>
        <w:t xml:space="preserve">и во 2022 година. Постои загриженост за оперативната независност на </w:t>
      </w:r>
      <w:r>
        <w:rPr>
          <w:rFonts w:ascii="Times New Roman" w:hAnsi="Times New Roman"/>
          <w:color w:val="000000"/>
          <w:sz w:val="24"/>
          <w:szCs w:val="24"/>
        </w:rPr>
        <w:t>Ц</w:t>
      </w:r>
      <w:r w:rsidRPr="009C5D97">
        <w:rPr>
          <w:rFonts w:ascii="Times New Roman" w:hAnsi="Times New Roman"/>
          <w:color w:val="000000"/>
          <w:sz w:val="24"/>
          <w:szCs w:val="24"/>
        </w:rPr>
        <w:t>ентралната банка бидејќи таа не е изземена од нацрт-законите за административни службеници и од Законот за вработените во јавниот сектор. Генерално, ставот на монетарната политика е во согласност со тековните економски основи, одговара на пазарните очекувања за натамошно зголемување на инфлацијата, истовремено ублажувајќи го негативното влијание врз економијата што произлегува од пандемијата и од енергетската криза.</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b/>
          <w:bCs/>
          <w:color w:val="000000"/>
          <w:sz w:val="24"/>
          <w:szCs w:val="24"/>
        </w:rPr>
        <w:t>Благодарени</w:t>
      </w:r>
      <w:r>
        <w:rPr>
          <w:rFonts w:ascii="Times New Roman" w:hAnsi="Times New Roman"/>
          <w:b/>
          <w:bCs/>
          <w:color w:val="000000"/>
          <w:sz w:val="24"/>
          <w:szCs w:val="24"/>
        </w:rPr>
        <w:t>е</w:t>
      </w:r>
      <w:r w:rsidRPr="009C5D97">
        <w:rPr>
          <w:rFonts w:ascii="Times New Roman" w:hAnsi="Times New Roman"/>
          <w:b/>
          <w:bCs/>
          <w:color w:val="000000"/>
          <w:sz w:val="24"/>
          <w:szCs w:val="24"/>
        </w:rPr>
        <w:t xml:space="preserve"> н</w:t>
      </w:r>
      <w:r>
        <w:rPr>
          <w:rFonts w:ascii="Times New Roman" w:hAnsi="Times New Roman"/>
          <w:b/>
          <w:bCs/>
          <w:color w:val="000000"/>
          <w:sz w:val="24"/>
          <w:szCs w:val="24"/>
        </w:rPr>
        <w:t>а</w:t>
      </w:r>
      <w:r w:rsidRPr="009C5D97">
        <w:rPr>
          <w:rFonts w:ascii="Times New Roman" w:hAnsi="Times New Roman"/>
          <w:b/>
          <w:bCs/>
          <w:color w:val="000000"/>
          <w:sz w:val="24"/>
          <w:szCs w:val="24"/>
        </w:rPr>
        <w:t xml:space="preserve"> порастот на даночните приходи како резултат на инфлацијата и недоволното извршување на расходите, буџетскиот дефицит во 2022 година е понизок од предвидениот. </w:t>
      </w:r>
      <w:r w:rsidRPr="009C5D97">
        <w:rPr>
          <w:rFonts w:ascii="Times New Roman" w:hAnsi="Times New Roman"/>
          <w:color w:val="000000"/>
          <w:sz w:val="24"/>
          <w:szCs w:val="24"/>
        </w:rPr>
        <w:t>Фискалниот дефицит е 4,5</w:t>
      </w:r>
      <w:r>
        <w:rPr>
          <w:rFonts w:ascii="Times New Roman" w:hAnsi="Times New Roman"/>
          <w:color w:val="000000"/>
          <w:sz w:val="24"/>
          <w:szCs w:val="24"/>
        </w:rPr>
        <w:t xml:space="preserve"> </w:t>
      </w:r>
      <w:r w:rsidRPr="009C5D97">
        <w:rPr>
          <w:rFonts w:ascii="Times New Roman" w:hAnsi="Times New Roman"/>
          <w:color w:val="000000"/>
          <w:sz w:val="24"/>
          <w:szCs w:val="24"/>
        </w:rPr>
        <w:t>% од БДП, намален од 5,4% во 2021 година и останува под ревидираната цел од 5,3</w:t>
      </w:r>
      <w:r>
        <w:rPr>
          <w:rFonts w:ascii="Times New Roman" w:hAnsi="Times New Roman"/>
          <w:color w:val="000000"/>
          <w:sz w:val="24"/>
          <w:szCs w:val="24"/>
        </w:rPr>
        <w:t xml:space="preserve"> </w:t>
      </w:r>
      <w:r w:rsidRPr="009C5D97">
        <w:rPr>
          <w:rFonts w:ascii="Times New Roman" w:hAnsi="Times New Roman"/>
          <w:color w:val="000000"/>
          <w:sz w:val="24"/>
          <w:szCs w:val="24"/>
        </w:rPr>
        <w:t>% од БДП донесена со ребалансот на буџетот во јули 2022 година. Приходите на централната влада се зголемени за 11,3</w:t>
      </w:r>
      <w:r>
        <w:rPr>
          <w:rFonts w:ascii="Times New Roman" w:hAnsi="Times New Roman"/>
          <w:color w:val="000000"/>
          <w:sz w:val="24"/>
          <w:szCs w:val="24"/>
        </w:rPr>
        <w:t xml:space="preserve"> </w:t>
      </w:r>
      <w:r w:rsidRPr="009C5D97">
        <w:rPr>
          <w:rFonts w:ascii="Times New Roman" w:hAnsi="Times New Roman"/>
          <w:color w:val="000000"/>
          <w:sz w:val="24"/>
          <w:szCs w:val="24"/>
        </w:rPr>
        <w:t>% во споредба со 2022 година, предводени со раст од 22,4</w:t>
      </w:r>
      <w:r>
        <w:rPr>
          <w:rFonts w:ascii="Times New Roman" w:hAnsi="Times New Roman"/>
          <w:color w:val="000000"/>
          <w:sz w:val="24"/>
          <w:szCs w:val="24"/>
        </w:rPr>
        <w:t xml:space="preserve"> </w:t>
      </w:r>
      <w:r w:rsidRPr="009C5D97">
        <w:rPr>
          <w:rFonts w:ascii="Times New Roman" w:hAnsi="Times New Roman"/>
          <w:color w:val="000000"/>
          <w:sz w:val="24"/>
          <w:szCs w:val="24"/>
        </w:rPr>
        <w:t>% на приходите од ДДВ. Во 2022 година тековните расходи се зголем</w:t>
      </w:r>
      <w:r>
        <w:rPr>
          <w:rFonts w:ascii="Times New Roman" w:hAnsi="Times New Roman"/>
          <w:color w:val="000000"/>
          <w:sz w:val="24"/>
          <w:szCs w:val="24"/>
        </w:rPr>
        <w:t>ени</w:t>
      </w:r>
      <w:r w:rsidRPr="009C5D97">
        <w:rPr>
          <w:rFonts w:ascii="Times New Roman" w:hAnsi="Times New Roman"/>
          <w:color w:val="000000"/>
          <w:sz w:val="24"/>
          <w:szCs w:val="24"/>
        </w:rPr>
        <w:t xml:space="preserve"> за 6,9</w:t>
      </w:r>
      <w:r>
        <w:rPr>
          <w:rFonts w:ascii="Times New Roman" w:hAnsi="Times New Roman"/>
          <w:color w:val="000000"/>
          <w:sz w:val="24"/>
          <w:szCs w:val="24"/>
        </w:rPr>
        <w:t xml:space="preserve"> </w:t>
      </w:r>
      <w:r w:rsidRPr="009C5D97">
        <w:rPr>
          <w:rFonts w:ascii="Times New Roman" w:hAnsi="Times New Roman"/>
          <w:color w:val="000000"/>
          <w:sz w:val="24"/>
          <w:szCs w:val="24"/>
        </w:rPr>
        <w:t>% што е помалку од зголемувањето на вкупните расходи од 8,3</w:t>
      </w:r>
      <w:r>
        <w:rPr>
          <w:rFonts w:ascii="Times New Roman" w:hAnsi="Times New Roman"/>
          <w:color w:val="000000"/>
          <w:sz w:val="24"/>
          <w:szCs w:val="24"/>
        </w:rPr>
        <w:t xml:space="preserve"> </w:t>
      </w:r>
      <w:r w:rsidRPr="009C5D97">
        <w:rPr>
          <w:rFonts w:ascii="Times New Roman" w:hAnsi="Times New Roman"/>
          <w:color w:val="000000"/>
          <w:sz w:val="24"/>
          <w:szCs w:val="24"/>
        </w:rPr>
        <w:t xml:space="preserve">%. Спроведувањето на капиталните расходи е повисоко од просекот за претходните </w:t>
      </w:r>
      <w:r>
        <w:rPr>
          <w:rFonts w:ascii="Times New Roman" w:hAnsi="Times New Roman"/>
          <w:color w:val="000000"/>
          <w:sz w:val="24"/>
          <w:szCs w:val="24"/>
        </w:rPr>
        <w:t>пет</w:t>
      </w:r>
      <w:r w:rsidRPr="009C5D97">
        <w:rPr>
          <w:rFonts w:ascii="Times New Roman" w:hAnsi="Times New Roman"/>
          <w:color w:val="000000"/>
          <w:sz w:val="24"/>
          <w:szCs w:val="24"/>
        </w:rPr>
        <w:t xml:space="preserve"> години и изнесува 89,2</w:t>
      </w:r>
      <w:r>
        <w:rPr>
          <w:rFonts w:ascii="Times New Roman" w:hAnsi="Times New Roman"/>
          <w:color w:val="000000"/>
          <w:sz w:val="24"/>
          <w:szCs w:val="24"/>
        </w:rPr>
        <w:t xml:space="preserve"> </w:t>
      </w:r>
      <w:r w:rsidRPr="009C5D97">
        <w:rPr>
          <w:rFonts w:ascii="Times New Roman" w:hAnsi="Times New Roman"/>
          <w:color w:val="000000"/>
          <w:sz w:val="24"/>
          <w:szCs w:val="24"/>
        </w:rPr>
        <w:t>% од буџетот. Владата постепено укина некои од ненасочените мерки за поддршка. ДДВ на електрична енергија за домаќинствата е зголемен од повластената стапка од 5</w:t>
      </w:r>
      <w:r>
        <w:rPr>
          <w:rFonts w:ascii="Times New Roman" w:hAnsi="Times New Roman"/>
          <w:color w:val="000000"/>
          <w:sz w:val="24"/>
          <w:szCs w:val="24"/>
        </w:rPr>
        <w:t xml:space="preserve"> </w:t>
      </w:r>
      <w:r w:rsidRPr="009C5D97">
        <w:rPr>
          <w:rFonts w:ascii="Times New Roman" w:hAnsi="Times New Roman"/>
          <w:color w:val="000000"/>
          <w:sz w:val="24"/>
          <w:szCs w:val="24"/>
        </w:rPr>
        <w:t>% на повисока повластена стапка од 10</w:t>
      </w:r>
      <w:r>
        <w:rPr>
          <w:rFonts w:ascii="Times New Roman" w:hAnsi="Times New Roman"/>
          <w:color w:val="000000"/>
          <w:sz w:val="24"/>
          <w:szCs w:val="24"/>
        </w:rPr>
        <w:t xml:space="preserve"> </w:t>
      </w:r>
      <w:r w:rsidRPr="009C5D97">
        <w:rPr>
          <w:rFonts w:ascii="Times New Roman" w:hAnsi="Times New Roman"/>
          <w:color w:val="000000"/>
          <w:sz w:val="24"/>
          <w:szCs w:val="24"/>
        </w:rPr>
        <w:t>%</w:t>
      </w:r>
      <w:r w:rsidRPr="009C5D97">
        <w:rPr>
          <w:rFonts w:ascii="Times New Roman" w:hAnsi="Times New Roman"/>
          <w:sz w:val="24"/>
          <w:szCs w:val="24"/>
        </w:rPr>
        <w:t xml:space="preserve"> </w:t>
      </w:r>
      <w:r w:rsidRPr="009C5D97">
        <w:rPr>
          <w:rFonts w:ascii="Times New Roman" w:hAnsi="Times New Roman"/>
          <w:color w:val="000000"/>
          <w:sz w:val="24"/>
          <w:szCs w:val="24"/>
        </w:rPr>
        <w:t>на 1 јануари 2023 година</w:t>
      </w:r>
      <w:r w:rsidRPr="009C5D97">
        <w:rPr>
          <w:rStyle w:val="FootnoteReference"/>
          <w:rFonts w:ascii="Times New Roman" w:hAnsi="Times New Roman"/>
          <w:color w:val="000000"/>
          <w:sz w:val="24"/>
          <w:szCs w:val="24"/>
        </w:rPr>
        <w:footnoteReference w:id="10"/>
      </w:r>
      <w:r w:rsidRPr="009C5D97">
        <w:rPr>
          <w:rFonts w:ascii="Times New Roman" w:hAnsi="Times New Roman"/>
          <w:color w:val="000000"/>
          <w:sz w:val="24"/>
          <w:szCs w:val="24"/>
        </w:rPr>
        <w:t>, а од 1 јули е нормализирана на стандардната стапка од 18</w:t>
      </w:r>
      <w:r>
        <w:rPr>
          <w:rFonts w:ascii="Times New Roman" w:hAnsi="Times New Roman"/>
          <w:color w:val="000000"/>
          <w:sz w:val="24"/>
          <w:szCs w:val="24"/>
        </w:rPr>
        <w:t xml:space="preserve"> </w:t>
      </w:r>
      <w:r w:rsidRPr="009C5D97">
        <w:rPr>
          <w:rFonts w:ascii="Times New Roman" w:hAnsi="Times New Roman"/>
          <w:color w:val="000000"/>
          <w:sz w:val="24"/>
          <w:szCs w:val="24"/>
        </w:rPr>
        <w:t>%. Од друга страна, извршувањето на неколку категории расходи од кои најзначајни се исплатите кон компанија</w:t>
      </w:r>
      <w:r>
        <w:rPr>
          <w:rFonts w:ascii="Times New Roman" w:hAnsi="Times New Roman"/>
          <w:color w:val="000000"/>
          <w:sz w:val="24"/>
          <w:szCs w:val="24"/>
        </w:rPr>
        <w:t>та</w:t>
      </w:r>
      <w:r w:rsidRPr="009C5D97">
        <w:rPr>
          <w:rFonts w:ascii="Times New Roman" w:hAnsi="Times New Roman"/>
          <w:color w:val="000000"/>
          <w:sz w:val="24"/>
          <w:szCs w:val="24"/>
        </w:rPr>
        <w:t xml:space="preserve"> за електрична енергија во државна сопственост, ЕСМ, и капиталните расходи, сериозно </w:t>
      </w:r>
      <w:r>
        <w:rPr>
          <w:rFonts w:ascii="Times New Roman" w:hAnsi="Times New Roman"/>
          <w:color w:val="000000"/>
          <w:sz w:val="24"/>
          <w:szCs w:val="24"/>
        </w:rPr>
        <w:t xml:space="preserve">беа </w:t>
      </w:r>
      <w:r w:rsidRPr="009C5D97">
        <w:rPr>
          <w:rFonts w:ascii="Times New Roman" w:hAnsi="Times New Roman"/>
          <w:color w:val="000000"/>
          <w:sz w:val="24"/>
          <w:szCs w:val="24"/>
        </w:rPr>
        <w:t>под планот во 2022 година. Во п</w:t>
      </w:r>
      <w:r>
        <w:rPr>
          <w:rFonts w:ascii="Times New Roman" w:hAnsi="Times New Roman"/>
          <w:color w:val="000000"/>
          <w:sz w:val="24"/>
          <w:szCs w:val="24"/>
        </w:rPr>
        <w:t>е</w:t>
      </w:r>
      <w:r w:rsidRPr="009C5D97">
        <w:rPr>
          <w:rFonts w:ascii="Times New Roman" w:hAnsi="Times New Roman"/>
          <w:color w:val="000000"/>
          <w:sz w:val="24"/>
          <w:szCs w:val="24"/>
        </w:rPr>
        <w:t>риодот јануари</w:t>
      </w:r>
      <w:r>
        <w:rPr>
          <w:rFonts w:ascii="Times New Roman" w:hAnsi="Times New Roman"/>
          <w:color w:val="000000"/>
          <w:sz w:val="24"/>
          <w:szCs w:val="24"/>
        </w:rPr>
        <w:t>-</w:t>
      </w:r>
      <w:r w:rsidRPr="009C5D97">
        <w:rPr>
          <w:rFonts w:ascii="Times New Roman" w:hAnsi="Times New Roman"/>
          <w:color w:val="000000"/>
          <w:sz w:val="24"/>
          <w:szCs w:val="24"/>
        </w:rPr>
        <w:t>јули 2023 година, буџетскиот дефицит остана стабилен на 2,9</w:t>
      </w:r>
      <w:r>
        <w:rPr>
          <w:rFonts w:ascii="Times New Roman" w:hAnsi="Times New Roman"/>
          <w:color w:val="000000"/>
          <w:sz w:val="24"/>
          <w:szCs w:val="24"/>
        </w:rPr>
        <w:t xml:space="preserve"> </w:t>
      </w:r>
      <w:r w:rsidRPr="009C5D97">
        <w:rPr>
          <w:rFonts w:ascii="Times New Roman" w:hAnsi="Times New Roman"/>
          <w:color w:val="000000"/>
          <w:sz w:val="24"/>
          <w:szCs w:val="24"/>
        </w:rPr>
        <w:t>% од проектираниот целогодишен БПД, со особено слаби резултати од приходите од ДДВ. Во јули Владата ги зголеми платите во јавниот сектор за 10</w:t>
      </w:r>
      <w:r>
        <w:rPr>
          <w:rFonts w:ascii="Times New Roman" w:hAnsi="Times New Roman"/>
          <w:color w:val="000000"/>
          <w:sz w:val="24"/>
          <w:szCs w:val="24"/>
        </w:rPr>
        <w:t xml:space="preserve"> </w:t>
      </w:r>
      <w:r w:rsidRPr="009C5D97">
        <w:rPr>
          <w:rFonts w:ascii="Times New Roman" w:hAnsi="Times New Roman"/>
          <w:color w:val="000000"/>
          <w:sz w:val="24"/>
          <w:szCs w:val="24"/>
        </w:rPr>
        <w:t>%, почнувајќи од септември 2023 година, а последователно ја донесе и прераспределбата на буџетот за да се приспособи на дополнителните расходи во рамките на првичната цел за дефицитот од 4,6</w:t>
      </w:r>
      <w:r>
        <w:rPr>
          <w:rFonts w:ascii="Times New Roman" w:hAnsi="Times New Roman"/>
          <w:color w:val="000000"/>
          <w:sz w:val="24"/>
          <w:szCs w:val="24"/>
        </w:rPr>
        <w:t xml:space="preserve"> </w:t>
      </w:r>
      <w:r w:rsidRPr="009C5D97">
        <w:rPr>
          <w:rFonts w:ascii="Times New Roman" w:hAnsi="Times New Roman"/>
          <w:color w:val="000000"/>
          <w:sz w:val="24"/>
          <w:szCs w:val="24"/>
        </w:rPr>
        <w:t xml:space="preserve">% од БДП. </w:t>
      </w:r>
      <w:r w:rsidRPr="00F644E2">
        <w:rPr>
          <w:rFonts w:ascii="Times New Roman" w:hAnsi="Times New Roman"/>
          <w:color w:val="000000"/>
          <w:sz w:val="24"/>
          <w:szCs w:val="24"/>
        </w:rPr>
        <w:t>Во петте години пред пандемијата општиот фискален дефицит на Владата се намалувал секоја година, во однос на БДП, делумно како резултат на недоволното извршување на буџетираните капитални расходи, пред да скокне на 8,2 % од БДП во 2020 година</w:t>
      </w:r>
      <w:r>
        <w:rPr>
          <w:rFonts w:ascii="Times New Roman" w:hAnsi="Times New Roman"/>
          <w:color w:val="000000"/>
          <w:sz w:val="24"/>
          <w:szCs w:val="24"/>
        </w:rPr>
        <w:t>,</w:t>
      </w:r>
      <w:r w:rsidRPr="009C5D97">
        <w:rPr>
          <w:rFonts w:ascii="Times New Roman" w:hAnsi="Times New Roman"/>
          <w:color w:val="000000"/>
          <w:sz w:val="24"/>
          <w:szCs w:val="24"/>
        </w:rPr>
        <w:t xml:space="preserve"> со оглед на тоа што кризата со КОВИД-19 ги погоди јавните финансии. Нивото на приходите во голема мера остана непроменето на релативно ниско ниво (2022: 30,6</w:t>
      </w:r>
      <w:r>
        <w:rPr>
          <w:rFonts w:ascii="Times New Roman" w:hAnsi="Times New Roman"/>
          <w:color w:val="000000"/>
          <w:sz w:val="24"/>
          <w:szCs w:val="24"/>
        </w:rPr>
        <w:t xml:space="preserve"> </w:t>
      </w:r>
      <w:r w:rsidRPr="009C5D97">
        <w:rPr>
          <w:rFonts w:ascii="Times New Roman" w:hAnsi="Times New Roman"/>
          <w:color w:val="000000"/>
          <w:sz w:val="24"/>
          <w:szCs w:val="24"/>
        </w:rPr>
        <w:t xml:space="preserve">%) во минатите </w:t>
      </w:r>
      <w:r>
        <w:rPr>
          <w:rFonts w:ascii="Times New Roman" w:hAnsi="Times New Roman"/>
          <w:color w:val="000000"/>
          <w:sz w:val="24"/>
          <w:szCs w:val="24"/>
        </w:rPr>
        <w:t>пет</w:t>
      </w:r>
      <w:r w:rsidRPr="009C5D97">
        <w:rPr>
          <w:rFonts w:ascii="Times New Roman" w:hAnsi="Times New Roman"/>
          <w:color w:val="000000"/>
          <w:sz w:val="24"/>
          <w:szCs w:val="24"/>
        </w:rPr>
        <w:t xml:space="preserve"> години што укажува на потребата за преземање натамошни мерки за зголемување на јавните приходи. Структурата на расходите останува под доминација на трансферите кон пензискиот фонд (2022: 28</w:t>
      </w:r>
      <w:r>
        <w:rPr>
          <w:rFonts w:ascii="Times New Roman" w:hAnsi="Times New Roman"/>
          <w:color w:val="000000"/>
          <w:sz w:val="24"/>
          <w:szCs w:val="24"/>
        </w:rPr>
        <w:t xml:space="preserve"> </w:t>
      </w:r>
      <w:r w:rsidRPr="009C5D97">
        <w:rPr>
          <w:rFonts w:ascii="Times New Roman" w:hAnsi="Times New Roman"/>
          <w:color w:val="000000"/>
          <w:sz w:val="24"/>
          <w:szCs w:val="24"/>
        </w:rPr>
        <w:t>% од вкупните расходи)</w:t>
      </w:r>
      <w:r>
        <w:rPr>
          <w:rFonts w:ascii="Times New Roman" w:hAnsi="Times New Roman"/>
          <w:color w:val="000000"/>
          <w:sz w:val="24"/>
          <w:szCs w:val="24"/>
        </w:rPr>
        <w:t>,</w:t>
      </w:r>
      <w:r w:rsidRPr="009C5D97">
        <w:rPr>
          <w:rFonts w:ascii="Times New Roman" w:hAnsi="Times New Roman"/>
          <w:color w:val="000000"/>
          <w:sz w:val="24"/>
          <w:szCs w:val="24"/>
        </w:rPr>
        <w:t xml:space="preserve"> при што неодамнешната промена на политиките на поврзување на зголемувањето на годишните пензии со цените и просечните плати дополнително ги зголеми финансиските притисоци.</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b/>
          <w:bCs/>
          <w:color w:val="000000"/>
          <w:sz w:val="24"/>
          <w:szCs w:val="24"/>
        </w:rPr>
        <w:t xml:space="preserve">Инфлацијата помогна да се намали односот на јавниот долг и БДП во 2022 </w:t>
      </w:r>
      <w:r>
        <w:rPr>
          <w:rFonts w:ascii="Times New Roman" w:hAnsi="Times New Roman"/>
          <w:b/>
          <w:bCs/>
          <w:color w:val="000000"/>
          <w:sz w:val="24"/>
          <w:szCs w:val="24"/>
        </w:rPr>
        <w:t xml:space="preserve">година, </w:t>
      </w:r>
      <w:r w:rsidRPr="009C5D97">
        <w:rPr>
          <w:rFonts w:ascii="Times New Roman" w:hAnsi="Times New Roman"/>
          <w:b/>
          <w:bCs/>
          <w:color w:val="000000"/>
          <w:sz w:val="24"/>
          <w:szCs w:val="24"/>
        </w:rPr>
        <w:t>но сепак е далеку над нивоата пред пандемијата.</w:t>
      </w:r>
      <w:r w:rsidRPr="009C5D97">
        <w:rPr>
          <w:rFonts w:ascii="Times New Roman" w:hAnsi="Times New Roman"/>
          <w:b/>
          <w:bCs/>
          <w:color w:val="000000"/>
          <w:sz w:val="24"/>
          <w:szCs w:val="24"/>
        </w:rPr>
        <w:tab/>
      </w:r>
      <w:r w:rsidR="00397C4A">
        <w:rPr>
          <w:rFonts w:ascii="Times New Roman" w:hAnsi="Times New Roman"/>
          <w:noProof/>
          <w:color w:val="000000"/>
          <w:sz w:val="24"/>
          <w:szCs w:val="24"/>
          <w:lang w:val="en-GB" w:eastAsia="en-GB"/>
        </w:rPr>
        <w:drawing>
          <wp:anchor distT="0" distB="0" distL="114300" distR="114300" simplePos="0" relativeHeight="251665408" behindDoc="0" locked="0" layoutInCell="1" allowOverlap="1" wp14:anchorId="7489DF53" wp14:editId="64D57C10">
            <wp:simplePos x="1376045" y="3965575"/>
            <wp:positionH relativeFrom="margin">
              <wp:align>left</wp:align>
            </wp:positionH>
            <wp:positionV relativeFrom="margin">
              <wp:align>center</wp:align>
            </wp:positionV>
            <wp:extent cx="3114675" cy="1886585"/>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3_M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14675" cy="1886585"/>
                    </a:xfrm>
                    <a:prstGeom prst="rect">
                      <a:avLst/>
                    </a:prstGeom>
                  </pic:spPr>
                </pic:pic>
              </a:graphicData>
            </a:graphic>
          </wp:anchor>
        </w:drawing>
      </w:r>
      <w:r w:rsidRPr="009C5D97">
        <w:rPr>
          <w:rFonts w:ascii="Times New Roman" w:hAnsi="Times New Roman"/>
          <w:color w:val="000000"/>
          <w:sz w:val="24"/>
          <w:szCs w:val="24"/>
        </w:rPr>
        <w:t>Откако се зголеми за околу 10 пп на повеќе од 50</w:t>
      </w:r>
      <w:r>
        <w:rPr>
          <w:rFonts w:ascii="Times New Roman" w:hAnsi="Times New Roman"/>
          <w:color w:val="000000"/>
          <w:sz w:val="24"/>
          <w:szCs w:val="24"/>
        </w:rPr>
        <w:t xml:space="preserve"> </w:t>
      </w:r>
      <w:r w:rsidRPr="009C5D97">
        <w:rPr>
          <w:rFonts w:ascii="Times New Roman" w:hAnsi="Times New Roman"/>
          <w:color w:val="000000"/>
          <w:sz w:val="24"/>
          <w:szCs w:val="24"/>
        </w:rPr>
        <w:t>% во 2020 година, односот на општиот владин долг и БДП се стабилизира</w:t>
      </w:r>
      <w:r>
        <w:rPr>
          <w:rFonts w:ascii="Times New Roman" w:hAnsi="Times New Roman"/>
          <w:color w:val="000000"/>
          <w:sz w:val="24"/>
          <w:szCs w:val="24"/>
        </w:rPr>
        <w:t>л</w:t>
      </w:r>
      <w:r w:rsidRPr="009C5D97">
        <w:rPr>
          <w:rFonts w:ascii="Times New Roman" w:hAnsi="Times New Roman"/>
          <w:color w:val="000000"/>
          <w:sz w:val="24"/>
          <w:szCs w:val="24"/>
        </w:rPr>
        <w:t xml:space="preserve"> во 2021 година и последователно има</w:t>
      </w:r>
      <w:r>
        <w:rPr>
          <w:rFonts w:ascii="Times New Roman" w:hAnsi="Times New Roman"/>
          <w:color w:val="000000"/>
          <w:sz w:val="24"/>
          <w:szCs w:val="24"/>
        </w:rPr>
        <w:t>л</w:t>
      </w:r>
      <w:r w:rsidRPr="009C5D97">
        <w:rPr>
          <w:rFonts w:ascii="Times New Roman" w:hAnsi="Times New Roman"/>
          <w:color w:val="000000"/>
          <w:sz w:val="24"/>
          <w:szCs w:val="24"/>
        </w:rPr>
        <w:t xml:space="preserve"> благ пад во 2022 година (-1.1 пп годишно на 50,9</w:t>
      </w:r>
      <w:r>
        <w:rPr>
          <w:rFonts w:ascii="Times New Roman" w:hAnsi="Times New Roman"/>
          <w:color w:val="000000"/>
          <w:sz w:val="24"/>
          <w:szCs w:val="24"/>
        </w:rPr>
        <w:t xml:space="preserve"> </w:t>
      </w:r>
      <w:r w:rsidRPr="009C5D97">
        <w:rPr>
          <w:rFonts w:ascii="Times New Roman" w:hAnsi="Times New Roman"/>
          <w:color w:val="000000"/>
          <w:sz w:val="24"/>
          <w:szCs w:val="24"/>
        </w:rPr>
        <w:t>% од БДП). Нивото на јавниот долг се намали повеќе (-1,2 пп), на 59,8</w:t>
      </w:r>
      <w:r>
        <w:rPr>
          <w:rFonts w:ascii="Times New Roman" w:hAnsi="Times New Roman"/>
          <w:color w:val="000000"/>
          <w:sz w:val="24"/>
          <w:szCs w:val="24"/>
        </w:rPr>
        <w:t xml:space="preserve"> </w:t>
      </w:r>
      <w:r w:rsidRPr="009C5D97">
        <w:rPr>
          <w:rFonts w:ascii="Times New Roman" w:hAnsi="Times New Roman"/>
          <w:color w:val="000000"/>
          <w:sz w:val="24"/>
          <w:szCs w:val="24"/>
        </w:rPr>
        <w:t xml:space="preserve">% што го </w:t>
      </w:r>
      <w:r>
        <w:rPr>
          <w:rFonts w:ascii="Times New Roman" w:hAnsi="Times New Roman"/>
          <w:color w:val="000000"/>
          <w:sz w:val="24"/>
          <w:szCs w:val="24"/>
        </w:rPr>
        <w:t>одразува</w:t>
      </w:r>
      <w:r w:rsidRPr="009C5D97">
        <w:rPr>
          <w:rFonts w:ascii="Times New Roman" w:hAnsi="Times New Roman"/>
          <w:color w:val="000000"/>
          <w:sz w:val="24"/>
          <w:szCs w:val="24"/>
        </w:rPr>
        <w:t xml:space="preserve"> намалувањето на долгот на јавните претпријатија. Сепак, во номинални вредности, вкупниот долг постепено се зголеми во 2022 година и во првата половина од 2023 година. Во споредба со крајот на 2021 година, на крајот од јуни 2023 година нивото на долгот на општата влада е повисок за 19,3</w:t>
      </w:r>
      <w:r>
        <w:rPr>
          <w:rFonts w:ascii="Times New Roman" w:hAnsi="Times New Roman"/>
          <w:color w:val="000000"/>
          <w:sz w:val="24"/>
          <w:szCs w:val="24"/>
        </w:rPr>
        <w:t xml:space="preserve"> </w:t>
      </w:r>
      <w:r w:rsidRPr="009C5D97">
        <w:rPr>
          <w:rFonts w:ascii="Times New Roman" w:hAnsi="Times New Roman"/>
          <w:color w:val="000000"/>
          <w:sz w:val="24"/>
          <w:szCs w:val="24"/>
        </w:rPr>
        <w:t>%. Уделот на долгот со фиксна каматна стапка во вкупниот долг остана висок во текот на 2022 година (74</w:t>
      </w:r>
      <w:r>
        <w:rPr>
          <w:rFonts w:ascii="Times New Roman" w:hAnsi="Times New Roman"/>
          <w:color w:val="000000"/>
          <w:sz w:val="24"/>
          <w:szCs w:val="24"/>
        </w:rPr>
        <w:t xml:space="preserve"> </w:t>
      </w:r>
      <w:r w:rsidRPr="009C5D97">
        <w:rPr>
          <w:rFonts w:ascii="Times New Roman" w:hAnsi="Times New Roman"/>
          <w:color w:val="000000"/>
          <w:sz w:val="24"/>
          <w:szCs w:val="24"/>
        </w:rPr>
        <w:t xml:space="preserve">% на крајот на годината), но малку </w:t>
      </w:r>
      <w:r>
        <w:rPr>
          <w:rFonts w:ascii="Times New Roman" w:hAnsi="Times New Roman"/>
          <w:color w:val="000000"/>
          <w:sz w:val="24"/>
          <w:szCs w:val="24"/>
        </w:rPr>
        <w:t xml:space="preserve">е </w:t>
      </w:r>
      <w:r w:rsidRPr="009C5D97">
        <w:rPr>
          <w:rFonts w:ascii="Times New Roman" w:hAnsi="Times New Roman"/>
          <w:color w:val="000000"/>
          <w:sz w:val="24"/>
          <w:szCs w:val="24"/>
        </w:rPr>
        <w:t>понизок од пред една година (-1,3 пп). Исто како и во 2021 година, на крајот на 2022 година надворешниот долг изнесува</w:t>
      </w:r>
      <w:r>
        <w:rPr>
          <w:rFonts w:ascii="Times New Roman" w:hAnsi="Times New Roman"/>
          <w:color w:val="000000"/>
          <w:sz w:val="24"/>
          <w:szCs w:val="24"/>
        </w:rPr>
        <w:t>л</w:t>
      </w:r>
      <w:r w:rsidRPr="009C5D97">
        <w:rPr>
          <w:rFonts w:ascii="Times New Roman" w:hAnsi="Times New Roman"/>
          <w:color w:val="000000"/>
          <w:sz w:val="24"/>
          <w:szCs w:val="24"/>
        </w:rPr>
        <w:t xml:space="preserve"> околу 60</w:t>
      </w:r>
      <w:r>
        <w:rPr>
          <w:rFonts w:ascii="Times New Roman" w:hAnsi="Times New Roman"/>
          <w:color w:val="000000"/>
          <w:sz w:val="24"/>
          <w:szCs w:val="24"/>
        </w:rPr>
        <w:t xml:space="preserve"> </w:t>
      </w:r>
      <w:r w:rsidRPr="009C5D97">
        <w:rPr>
          <w:rFonts w:ascii="Times New Roman" w:hAnsi="Times New Roman"/>
          <w:color w:val="000000"/>
          <w:sz w:val="24"/>
          <w:szCs w:val="24"/>
        </w:rPr>
        <w:t xml:space="preserve">% од вкупниот општ долг на </w:t>
      </w:r>
      <w:r>
        <w:rPr>
          <w:rFonts w:ascii="Times New Roman" w:hAnsi="Times New Roman"/>
          <w:color w:val="000000"/>
          <w:sz w:val="24"/>
          <w:szCs w:val="24"/>
        </w:rPr>
        <w:t>В</w:t>
      </w:r>
      <w:r w:rsidRPr="009C5D97">
        <w:rPr>
          <w:rFonts w:ascii="Times New Roman" w:hAnsi="Times New Roman"/>
          <w:color w:val="000000"/>
          <w:sz w:val="24"/>
          <w:szCs w:val="24"/>
        </w:rPr>
        <w:t>ладата. Надворешниот долг, главно деноминиран во евра (92</w:t>
      </w:r>
      <w:r>
        <w:rPr>
          <w:rFonts w:ascii="Times New Roman" w:hAnsi="Times New Roman"/>
          <w:color w:val="000000"/>
          <w:sz w:val="24"/>
          <w:szCs w:val="24"/>
        </w:rPr>
        <w:t xml:space="preserve"> </w:t>
      </w:r>
      <w:r w:rsidRPr="009C5D97">
        <w:rPr>
          <w:rFonts w:ascii="Times New Roman" w:hAnsi="Times New Roman"/>
          <w:color w:val="000000"/>
          <w:sz w:val="24"/>
          <w:szCs w:val="24"/>
        </w:rPr>
        <w:t>% од вкупниот надворешен долг) изнесува</w:t>
      </w:r>
      <w:r>
        <w:rPr>
          <w:rFonts w:ascii="Times New Roman" w:hAnsi="Times New Roman"/>
          <w:color w:val="000000"/>
          <w:sz w:val="24"/>
          <w:szCs w:val="24"/>
        </w:rPr>
        <w:t>л</w:t>
      </w:r>
      <w:r w:rsidRPr="009C5D97">
        <w:rPr>
          <w:rFonts w:ascii="Times New Roman" w:hAnsi="Times New Roman"/>
          <w:color w:val="000000"/>
          <w:sz w:val="24"/>
          <w:szCs w:val="24"/>
        </w:rPr>
        <w:t xml:space="preserve"> 76</w:t>
      </w:r>
      <w:r>
        <w:rPr>
          <w:rFonts w:ascii="Times New Roman" w:hAnsi="Times New Roman"/>
          <w:color w:val="000000"/>
          <w:sz w:val="24"/>
          <w:szCs w:val="24"/>
        </w:rPr>
        <w:t xml:space="preserve"> </w:t>
      </w:r>
      <w:r w:rsidRPr="009C5D97">
        <w:rPr>
          <w:rFonts w:ascii="Times New Roman" w:hAnsi="Times New Roman"/>
          <w:color w:val="000000"/>
          <w:sz w:val="24"/>
          <w:szCs w:val="24"/>
        </w:rPr>
        <w:t>% од вкупниот долг (исто така</w:t>
      </w:r>
      <w:r>
        <w:rPr>
          <w:rFonts w:ascii="Times New Roman" w:hAnsi="Times New Roman"/>
          <w:color w:val="000000"/>
          <w:sz w:val="24"/>
          <w:szCs w:val="24"/>
        </w:rPr>
        <w:t>,</w:t>
      </w:r>
      <w:r w:rsidRPr="009C5D97">
        <w:rPr>
          <w:rFonts w:ascii="Times New Roman" w:hAnsi="Times New Roman"/>
          <w:color w:val="000000"/>
          <w:sz w:val="24"/>
          <w:szCs w:val="24"/>
        </w:rPr>
        <w:t xml:space="preserve"> непроменет на годишна основа). Девизниот курс врзан со еврото </w:t>
      </w:r>
      <w:r w:rsidRPr="00796994">
        <w:rPr>
          <w:rFonts w:ascii="Times New Roman" w:hAnsi="Times New Roman"/>
          <w:i/>
          <w:color w:val="000000"/>
          <w:sz w:val="24"/>
          <w:szCs w:val="24"/>
        </w:rPr>
        <w:t>де факто</w:t>
      </w:r>
      <w:r w:rsidRPr="009C5D97">
        <w:rPr>
          <w:rFonts w:ascii="Times New Roman" w:hAnsi="Times New Roman"/>
          <w:color w:val="000000"/>
          <w:sz w:val="24"/>
          <w:szCs w:val="24"/>
        </w:rPr>
        <w:t xml:space="preserve"> ја ограничува ранливоста на долгот што произлегува од флуктуациите на вредноста на денарот. Во март 2023 година Владата успешно издаде Еврообврзница, нејзина деветта од 2005 година, за 500 милиони евра, за рефинансирање на исплатата на Еврообврзницата од 2016 година (450 милиони евра) во јули 2023 година. Земјата има докажани резултати со навремени исплати на долговите.</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b/>
          <w:bCs/>
          <w:color w:val="000000"/>
          <w:sz w:val="24"/>
          <w:szCs w:val="24"/>
        </w:rPr>
        <w:t xml:space="preserve">Фискалната рамка е зајакната преку новиот Закон за буџетите, но остануваат недостатоците во управувањето со јавните финансии. </w:t>
      </w:r>
      <w:r w:rsidRPr="009C5D97">
        <w:rPr>
          <w:rFonts w:ascii="Times New Roman" w:hAnsi="Times New Roman"/>
          <w:color w:val="000000"/>
          <w:sz w:val="24"/>
          <w:szCs w:val="24"/>
        </w:rPr>
        <w:t xml:space="preserve">Во септември 2002 година Собранието го донесе Законот за буџетите со кој се овозможува воведување фискални правила и фискален совет и ја зајакнува среднорочната буџетска постапка. Клучните одредби, како што се фискалните правила, треба да </w:t>
      </w:r>
      <w:r>
        <w:rPr>
          <w:rFonts w:ascii="Times New Roman" w:hAnsi="Times New Roman"/>
          <w:color w:val="000000"/>
          <w:sz w:val="24"/>
          <w:szCs w:val="24"/>
        </w:rPr>
        <w:t xml:space="preserve">стапат на </w:t>
      </w:r>
      <w:r w:rsidRPr="009C5D97">
        <w:rPr>
          <w:rFonts w:ascii="Times New Roman" w:hAnsi="Times New Roman"/>
          <w:color w:val="000000"/>
          <w:sz w:val="24"/>
          <w:szCs w:val="24"/>
        </w:rPr>
        <w:t xml:space="preserve">сила во 2025 година. Подготовките за воспоставувањето на новиот фискален совет напредуваат и во септември 2023 година Собранието ги номинира и ги назначи членовите на </w:t>
      </w:r>
      <w:r>
        <w:rPr>
          <w:rFonts w:ascii="Times New Roman" w:hAnsi="Times New Roman"/>
          <w:color w:val="000000"/>
          <w:sz w:val="24"/>
          <w:szCs w:val="24"/>
        </w:rPr>
        <w:t>С</w:t>
      </w:r>
      <w:r w:rsidRPr="009C5D97">
        <w:rPr>
          <w:rFonts w:ascii="Times New Roman" w:hAnsi="Times New Roman"/>
          <w:color w:val="000000"/>
          <w:sz w:val="24"/>
          <w:szCs w:val="24"/>
        </w:rPr>
        <w:t>оветот. Сепак, нема напредок во донесувањето на подзаконските акти, што е неопходно за целосно спроведување на Законот за буџетите. Понатаму, недостатоците во наплатата на</w:t>
      </w:r>
      <w:r w:rsidRPr="009C5D97">
        <w:rPr>
          <w:rFonts w:ascii="Times New Roman" w:hAnsi="Times New Roman"/>
          <w:sz w:val="24"/>
          <w:szCs w:val="24"/>
        </w:rPr>
        <w:t xml:space="preserve"> </w:t>
      </w:r>
      <w:r w:rsidRPr="009C5D97">
        <w:rPr>
          <w:rFonts w:ascii="Times New Roman" w:hAnsi="Times New Roman"/>
          <w:color w:val="000000"/>
          <w:sz w:val="24"/>
          <w:szCs w:val="24"/>
        </w:rPr>
        <w:t>приходите и големиот број даночни ослободувања што ја нагризуваат даночната основа го спречуваат потенцијалното зголемување на коефициентите на јавните приходи. Во декември 2022 година Владата донесе мерки за реформа на даночната политика во областите на данокот на личен доход, данокот на добивка и данокот на додадена вредност, со цел проширување на даночната основа</w:t>
      </w:r>
      <w:r w:rsidRPr="00B176FB">
        <w:rPr>
          <w:rFonts w:ascii="Times New Roman" w:hAnsi="Times New Roman"/>
          <w:color w:val="000000"/>
          <w:sz w:val="24"/>
          <w:szCs w:val="24"/>
        </w:rPr>
        <w:t xml:space="preserve">. </w:t>
      </w:r>
      <w:r>
        <w:rPr>
          <w:rFonts w:ascii="Times New Roman" w:hAnsi="Times New Roman"/>
          <w:color w:val="000000"/>
          <w:sz w:val="24"/>
          <w:szCs w:val="24"/>
        </w:rPr>
        <w:t>И</w:t>
      </w:r>
      <w:r w:rsidRPr="00B176FB">
        <w:rPr>
          <w:rFonts w:ascii="Times New Roman" w:hAnsi="Times New Roman"/>
          <w:color w:val="000000"/>
          <w:sz w:val="24"/>
          <w:szCs w:val="24"/>
        </w:rPr>
        <w:t>змените</w:t>
      </w:r>
      <w:r w:rsidRPr="009C5D97">
        <w:rPr>
          <w:rFonts w:ascii="Times New Roman" w:hAnsi="Times New Roman"/>
          <w:color w:val="000000"/>
          <w:sz w:val="24"/>
          <w:szCs w:val="24"/>
        </w:rPr>
        <w:t xml:space="preserve"> на Законот за данок на личен доход </w:t>
      </w:r>
      <w:r>
        <w:rPr>
          <w:rFonts w:ascii="Times New Roman" w:hAnsi="Times New Roman"/>
          <w:color w:val="000000"/>
          <w:sz w:val="24"/>
          <w:szCs w:val="24"/>
        </w:rPr>
        <w:t>стапија на</w:t>
      </w:r>
      <w:r w:rsidRPr="009C5D97">
        <w:rPr>
          <w:rFonts w:ascii="Times New Roman" w:hAnsi="Times New Roman"/>
          <w:color w:val="000000"/>
          <w:sz w:val="24"/>
          <w:szCs w:val="24"/>
        </w:rPr>
        <w:t xml:space="preserve"> сила во јануари 2023 година, </w:t>
      </w:r>
      <w:r>
        <w:rPr>
          <w:rFonts w:ascii="Times New Roman" w:hAnsi="Times New Roman"/>
          <w:color w:val="000000"/>
          <w:sz w:val="24"/>
          <w:szCs w:val="24"/>
        </w:rPr>
        <w:t xml:space="preserve">а </w:t>
      </w:r>
      <w:r w:rsidRPr="009C5D97">
        <w:rPr>
          <w:rFonts w:ascii="Times New Roman" w:hAnsi="Times New Roman"/>
          <w:color w:val="000000"/>
          <w:sz w:val="24"/>
          <w:szCs w:val="24"/>
        </w:rPr>
        <w:t>Собранието ги донесе измените на Законот за данокот на добивка, на Законот за данокот за додадена вредност, како и новиот Закон за данок на солидарност дури во септември 2023 година</w:t>
      </w:r>
      <w:r w:rsidRPr="009C5D97">
        <w:rPr>
          <w:rStyle w:val="FootnoteReference"/>
          <w:rFonts w:ascii="Times New Roman" w:hAnsi="Times New Roman"/>
          <w:color w:val="000000"/>
          <w:sz w:val="24"/>
          <w:szCs w:val="24"/>
        </w:rPr>
        <w:footnoteReference w:id="11"/>
      </w:r>
      <w:r w:rsidRPr="009C5D97">
        <w:rPr>
          <w:rFonts w:ascii="Times New Roman" w:hAnsi="Times New Roman"/>
          <w:color w:val="000000"/>
          <w:sz w:val="24"/>
          <w:szCs w:val="24"/>
        </w:rPr>
        <w:t>. Бавно напредува спроведувањето на мерките за подобрување на планирањето, распределбата и извршувањето на проектите за јавни инвестиции, како што е претставено од Владата во нејзиниот Акциски</w:t>
      </w:r>
      <w:r w:rsidR="00AF05B3">
        <w:rPr>
          <w:rFonts w:ascii="Times New Roman" w:hAnsi="Times New Roman"/>
          <w:color w:val="000000"/>
          <w:sz w:val="24"/>
          <w:szCs w:val="24"/>
        </w:rPr>
        <w:t xml:space="preserve"> </w:t>
      </w:r>
      <w:r w:rsidRPr="009C5D97">
        <w:rPr>
          <w:rFonts w:ascii="Times New Roman" w:hAnsi="Times New Roman"/>
          <w:color w:val="000000"/>
          <w:sz w:val="24"/>
          <w:szCs w:val="24"/>
        </w:rPr>
        <w:t>план за 2021 година, попречено од недост</w:t>
      </w:r>
      <w:r>
        <w:rPr>
          <w:rFonts w:ascii="Times New Roman" w:hAnsi="Times New Roman"/>
          <w:color w:val="000000"/>
          <w:sz w:val="24"/>
          <w:szCs w:val="24"/>
        </w:rPr>
        <w:t>игот на</w:t>
      </w:r>
      <w:r w:rsidRPr="009C5D97">
        <w:rPr>
          <w:rFonts w:ascii="Times New Roman" w:hAnsi="Times New Roman"/>
          <w:color w:val="000000"/>
          <w:sz w:val="24"/>
          <w:szCs w:val="24"/>
        </w:rPr>
        <w:t xml:space="preserve"> персонал и неопходните барања за ИТ. Во декември 2022 година Владата воспостави наменска единица за управување со јавни инвестиции во Министерството за финансии за да осигури централизиран увид во инвестициите на јавниот сектор, но таа допрва треба да стане целосно функционална.</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b/>
          <w:bCs/>
          <w:color w:val="000000"/>
          <w:sz w:val="24"/>
          <w:szCs w:val="24"/>
        </w:rPr>
        <w:t xml:space="preserve">Фискалните ризици се значителни и не се секогаш добро следени. </w:t>
      </w:r>
      <w:r w:rsidRPr="009C5D97">
        <w:rPr>
          <w:rFonts w:ascii="Times New Roman" w:hAnsi="Times New Roman"/>
          <w:color w:val="000000"/>
          <w:sz w:val="24"/>
          <w:szCs w:val="24"/>
        </w:rPr>
        <w:t>Ризиците за плановите на Владата за фискална консолидација се зголемија, особено од договорот на Владата со конзорциумот Бехтел-Енка од март 2023 година за изградбата на дел од патниот Коридор 8/10д. Се очекува проектот да чини 1,3 милијарди евра (10</w:t>
      </w:r>
      <w:r>
        <w:rPr>
          <w:rFonts w:ascii="Times New Roman" w:hAnsi="Times New Roman"/>
          <w:color w:val="000000"/>
          <w:sz w:val="24"/>
          <w:szCs w:val="24"/>
        </w:rPr>
        <w:t xml:space="preserve"> </w:t>
      </w:r>
      <w:r w:rsidRPr="009C5D97">
        <w:rPr>
          <w:rFonts w:ascii="Times New Roman" w:hAnsi="Times New Roman"/>
          <w:color w:val="000000"/>
          <w:sz w:val="24"/>
          <w:szCs w:val="24"/>
        </w:rPr>
        <w:t>% од БДП во 2022 година) и да се заврши во период од шест години со 215 милиони евра (1,7</w:t>
      </w:r>
      <w:r>
        <w:rPr>
          <w:rFonts w:ascii="Times New Roman" w:hAnsi="Times New Roman"/>
          <w:color w:val="000000"/>
          <w:sz w:val="24"/>
          <w:szCs w:val="24"/>
        </w:rPr>
        <w:t xml:space="preserve"> </w:t>
      </w:r>
      <w:r w:rsidRPr="009C5D97">
        <w:rPr>
          <w:rFonts w:ascii="Times New Roman" w:hAnsi="Times New Roman"/>
          <w:color w:val="000000"/>
          <w:sz w:val="24"/>
          <w:szCs w:val="24"/>
        </w:rPr>
        <w:t xml:space="preserve">% од БДП од 2022 година) наменети во буџетот од 2023 година. За овој проект Собранието донесе посебен закон што ги заменува стандардните правила за јавни набавки. За да се стабилизираат фискалните трошоци и да се управува со фискалните ризици, особено неодамнешните зголемувања на трошоците во градежништвото и несигурната евалуација на трошоците во проектот, ММФ побара од </w:t>
      </w:r>
      <w:r w:rsidR="006143CA">
        <w:rPr>
          <w:rFonts w:ascii="Times New Roman" w:hAnsi="Times New Roman"/>
          <w:color w:val="000000"/>
          <w:sz w:val="24"/>
          <w:szCs w:val="24"/>
        </w:rPr>
        <w:t>органите</w:t>
      </w:r>
      <w:r w:rsidR="006143CA" w:rsidRPr="009C5D97">
        <w:rPr>
          <w:rFonts w:ascii="Times New Roman" w:hAnsi="Times New Roman"/>
          <w:color w:val="000000"/>
          <w:sz w:val="24"/>
          <w:szCs w:val="24"/>
        </w:rPr>
        <w:t xml:space="preserve"> </w:t>
      </w:r>
      <w:r w:rsidRPr="009C5D97">
        <w:rPr>
          <w:rFonts w:ascii="Times New Roman" w:hAnsi="Times New Roman"/>
          <w:color w:val="000000"/>
          <w:sz w:val="24"/>
          <w:szCs w:val="24"/>
        </w:rPr>
        <w:t xml:space="preserve">да обезбедат </w:t>
      </w:r>
      <w:r w:rsidRPr="00F35ECC">
        <w:rPr>
          <w:rFonts w:ascii="Times New Roman" w:hAnsi="Times New Roman"/>
          <w:color w:val="000000"/>
          <w:sz w:val="24"/>
          <w:szCs w:val="24"/>
        </w:rPr>
        <w:t>независна студија за детална проверка како структурна одредница според Линијата за претпазливост и ликвидност од 2022 година за Северна Македонија</w:t>
      </w:r>
      <w:r w:rsidRPr="009C5D97">
        <w:rPr>
          <w:rFonts w:ascii="Times New Roman" w:hAnsi="Times New Roman"/>
          <w:color w:val="000000"/>
          <w:sz w:val="24"/>
          <w:szCs w:val="24"/>
        </w:rPr>
        <w:t xml:space="preserve">, која е одложена. Натамошните фискални ризици произлегуваат од заостанатите расходи што постојано остануваат над 3 отсто од БДП, како и од растот на платите во јавниот сектор, но и од одлуката на Владата од јули 2023 година да ги поврзе идните зголемувања на платите во јавниот сектор со растот на просечната плата, дополнително </w:t>
      </w:r>
      <w:r w:rsidRPr="00F35ECC">
        <w:rPr>
          <w:rFonts w:ascii="Times New Roman" w:hAnsi="Times New Roman"/>
          <w:color w:val="000000"/>
          <w:sz w:val="24"/>
          <w:szCs w:val="24"/>
        </w:rPr>
        <w:t>на</w:t>
      </w:r>
      <w:r w:rsidRPr="009C5D97">
        <w:rPr>
          <w:rFonts w:ascii="Times New Roman" w:hAnsi="Times New Roman"/>
          <w:color w:val="000000"/>
          <w:sz w:val="24"/>
          <w:szCs w:val="24"/>
        </w:rPr>
        <w:t xml:space="preserve"> растот на цените. Зголемените расходи за пензии носат дополнителни ризици за фискалната одржливост, влошени со неодамнешната промена во формулата за индексирање. Наглиот пораст на минималните плати (+12</w:t>
      </w:r>
      <w:r>
        <w:rPr>
          <w:rFonts w:ascii="Times New Roman" w:hAnsi="Times New Roman"/>
          <w:color w:val="000000"/>
          <w:sz w:val="24"/>
          <w:szCs w:val="24"/>
        </w:rPr>
        <w:t xml:space="preserve"> </w:t>
      </w:r>
      <w:r w:rsidRPr="009C5D97">
        <w:rPr>
          <w:rFonts w:ascii="Times New Roman" w:hAnsi="Times New Roman"/>
          <w:color w:val="000000"/>
          <w:sz w:val="24"/>
          <w:szCs w:val="24"/>
        </w:rPr>
        <w:t>% од април 2023 година) во согласност со новата методологија за усогласување донесена во 2022 година дополнително влијае врз општиот развој на платите и пензиите. За некои фискални ризици, како што се потенцијалните обврски што произлегуваат од ЈПП и други субјекти што не се дел од буџетот</w:t>
      </w:r>
      <w:r>
        <w:rPr>
          <w:rFonts w:ascii="Times New Roman" w:hAnsi="Times New Roman"/>
          <w:color w:val="000000"/>
          <w:sz w:val="24"/>
          <w:szCs w:val="24"/>
        </w:rPr>
        <w:t>,</w:t>
      </w:r>
      <w:r w:rsidRPr="009C5D97">
        <w:rPr>
          <w:rFonts w:ascii="Times New Roman" w:hAnsi="Times New Roman"/>
          <w:color w:val="000000"/>
          <w:sz w:val="24"/>
          <w:szCs w:val="24"/>
        </w:rPr>
        <w:t xml:space="preserve"> нема систематско известување до централната влада</w:t>
      </w:r>
      <w:r w:rsidRPr="009C5D97">
        <w:rPr>
          <w:rStyle w:val="FootnoteReference"/>
          <w:rFonts w:ascii="Times New Roman" w:eastAsia="Times New Roman" w:hAnsi="Times New Roman"/>
          <w:color w:val="000000"/>
          <w:sz w:val="24"/>
          <w:szCs w:val="24"/>
        </w:rPr>
        <w:footnoteReference w:id="12"/>
      </w:r>
      <w:r w:rsidRPr="009C5D97">
        <w:rPr>
          <w:rFonts w:ascii="Times New Roman" w:hAnsi="Times New Roman"/>
          <w:color w:val="000000"/>
          <w:sz w:val="24"/>
          <w:szCs w:val="24"/>
        </w:rPr>
        <w:t>.</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b/>
          <w:bCs/>
          <w:color w:val="000000"/>
          <w:sz w:val="24"/>
          <w:szCs w:val="24"/>
        </w:rPr>
        <w:t>Донесените политики</w:t>
      </w:r>
      <w:r w:rsidRPr="009C5D97">
        <w:rPr>
          <w:rFonts w:ascii="Times New Roman" w:hAnsi="Times New Roman"/>
          <w:b/>
          <w:bCs/>
          <w:color w:val="000000"/>
          <w:sz w:val="24"/>
          <w:szCs w:val="24"/>
        </w:rPr>
        <w:t xml:space="preserve"> </w:t>
      </w:r>
      <w:r>
        <w:rPr>
          <w:rFonts w:ascii="Times New Roman" w:hAnsi="Times New Roman"/>
          <w:b/>
          <w:bCs/>
          <w:color w:val="000000"/>
          <w:sz w:val="24"/>
          <w:szCs w:val="24"/>
        </w:rPr>
        <w:t>с</w:t>
      </w:r>
      <w:r w:rsidRPr="009C5D97">
        <w:rPr>
          <w:rFonts w:ascii="Times New Roman" w:hAnsi="Times New Roman"/>
          <w:b/>
          <w:bCs/>
          <w:color w:val="000000"/>
          <w:sz w:val="24"/>
          <w:szCs w:val="24"/>
        </w:rPr>
        <w:t>е донекаде неконзистентн</w:t>
      </w:r>
      <w:r>
        <w:rPr>
          <w:rFonts w:ascii="Times New Roman" w:hAnsi="Times New Roman"/>
          <w:b/>
          <w:bCs/>
          <w:color w:val="000000"/>
          <w:sz w:val="24"/>
          <w:szCs w:val="24"/>
        </w:rPr>
        <w:t>и</w:t>
      </w:r>
      <w:r w:rsidRPr="009C5D97">
        <w:rPr>
          <w:rFonts w:ascii="Times New Roman" w:hAnsi="Times New Roman"/>
          <w:b/>
          <w:bCs/>
          <w:color w:val="000000"/>
          <w:sz w:val="24"/>
          <w:szCs w:val="24"/>
        </w:rPr>
        <w:t xml:space="preserve"> во решавањето на предизвиците настанати од кризата на трошоците за живот и високиот увоз на енергија, но обезбедена </w:t>
      </w:r>
      <w:r>
        <w:rPr>
          <w:rFonts w:ascii="Times New Roman" w:hAnsi="Times New Roman"/>
          <w:b/>
          <w:bCs/>
          <w:color w:val="000000"/>
          <w:sz w:val="24"/>
          <w:szCs w:val="24"/>
        </w:rPr>
        <w:t xml:space="preserve">е </w:t>
      </w:r>
      <w:r w:rsidRPr="009C5D97">
        <w:rPr>
          <w:rFonts w:ascii="Times New Roman" w:hAnsi="Times New Roman"/>
          <w:b/>
          <w:bCs/>
          <w:color w:val="000000"/>
          <w:sz w:val="24"/>
          <w:szCs w:val="24"/>
        </w:rPr>
        <w:t xml:space="preserve">финансиска и макроекономска стабилност. </w:t>
      </w:r>
      <w:r w:rsidRPr="009C5D97">
        <w:rPr>
          <w:rFonts w:ascii="Times New Roman" w:hAnsi="Times New Roman"/>
          <w:color w:val="000000"/>
          <w:sz w:val="24"/>
          <w:szCs w:val="24"/>
        </w:rPr>
        <w:t xml:space="preserve">Монетарната политика е соодветно заострена поради растечката инфлација, а интензивирани се мерките за промовирање на штедењето во домашната валута („денаризација“), што придонесе </w:t>
      </w:r>
      <w:r w:rsidRPr="009768C4">
        <w:rPr>
          <w:rFonts w:ascii="Times New Roman" w:hAnsi="Times New Roman"/>
          <w:color w:val="000000"/>
          <w:sz w:val="24"/>
          <w:szCs w:val="24"/>
          <w:lang w:val="ru-RU"/>
        </w:rPr>
        <w:t>з</w:t>
      </w:r>
      <w:r>
        <w:rPr>
          <w:rFonts w:ascii="Times New Roman" w:hAnsi="Times New Roman"/>
          <w:color w:val="000000"/>
          <w:sz w:val="24"/>
          <w:szCs w:val="24"/>
        </w:rPr>
        <w:t>а</w:t>
      </w:r>
      <w:r w:rsidRPr="009C5D97">
        <w:rPr>
          <w:rFonts w:ascii="Times New Roman" w:hAnsi="Times New Roman"/>
          <w:color w:val="000000"/>
          <w:sz w:val="24"/>
          <w:szCs w:val="24"/>
        </w:rPr>
        <w:t xml:space="preserve"> стабилноста на девизниот курс. Фискалната поддршка за домаќинствата и за компаниите, од друга страна, може</w:t>
      </w:r>
      <w:r>
        <w:rPr>
          <w:rFonts w:ascii="Times New Roman" w:hAnsi="Times New Roman"/>
          <w:color w:val="000000"/>
          <w:sz w:val="24"/>
          <w:szCs w:val="24"/>
        </w:rPr>
        <w:t>ла</w:t>
      </w:r>
      <w:r w:rsidRPr="009C5D97">
        <w:rPr>
          <w:rFonts w:ascii="Times New Roman" w:hAnsi="Times New Roman"/>
          <w:color w:val="000000"/>
          <w:sz w:val="24"/>
          <w:szCs w:val="24"/>
        </w:rPr>
        <w:t xml:space="preserve"> да биде подобро насочена, а плановите за фискална консолидација би можеле да бидат поамбициозни и со цел да се помогне монетарната политика да ја ограничи инфлацијата. Субвенциите за енергија останаа високи наспроти падот на пазарните цени. Понатаму, одлуката на Владата да го ревидира механизмот за индексирање на платите во јавниот сектор и на минималната плата од 2024 година најверојатно ќе предизвика домашни ценовни притисоци и ќе ги стави под ризик плановите за фискална консолидација. Натамошни подобрувања во фискалната рамка, како што се следење и адресирање на фискалните ризици и подобрување на управувањето со инвестициите</w:t>
      </w:r>
      <w:r>
        <w:rPr>
          <w:rFonts w:ascii="Times New Roman" w:hAnsi="Times New Roman"/>
          <w:color w:val="000000"/>
          <w:sz w:val="24"/>
          <w:szCs w:val="24"/>
        </w:rPr>
        <w:t>,</w:t>
      </w:r>
      <w:r w:rsidRPr="009C5D97">
        <w:rPr>
          <w:rFonts w:ascii="Times New Roman" w:hAnsi="Times New Roman"/>
          <w:color w:val="000000"/>
          <w:sz w:val="24"/>
          <w:szCs w:val="24"/>
        </w:rPr>
        <w:t xml:space="preserve"> значително</w:t>
      </w:r>
      <w:r w:rsidRPr="009C5D97">
        <w:rPr>
          <w:rFonts w:ascii="Times New Roman" w:hAnsi="Times New Roman"/>
          <w:sz w:val="24"/>
          <w:szCs w:val="24"/>
        </w:rPr>
        <w:t xml:space="preserve"> </w:t>
      </w:r>
      <w:r w:rsidRPr="009C5D97">
        <w:rPr>
          <w:rFonts w:ascii="Times New Roman" w:hAnsi="Times New Roman"/>
          <w:color w:val="000000"/>
          <w:sz w:val="24"/>
          <w:szCs w:val="24"/>
        </w:rPr>
        <w:t xml:space="preserve">би придонело </w:t>
      </w:r>
      <w:r>
        <w:rPr>
          <w:rFonts w:ascii="Times New Roman" w:hAnsi="Times New Roman"/>
          <w:color w:val="000000"/>
          <w:sz w:val="24"/>
          <w:szCs w:val="24"/>
        </w:rPr>
        <w:t>за</w:t>
      </w:r>
      <w:r w:rsidRPr="009C5D97">
        <w:rPr>
          <w:rFonts w:ascii="Times New Roman" w:hAnsi="Times New Roman"/>
          <w:color w:val="000000"/>
          <w:sz w:val="24"/>
          <w:szCs w:val="24"/>
        </w:rPr>
        <w:t xml:space="preserve"> натамошно зачувување на макроекономската стабилност и зголемување на потенцијалот за раст на економијата.</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color w:val="000000"/>
          <w:sz w:val="24"/>
          <w:szCs w:val="24"/>
          <w:u w:val="single"/>
        </w:rPr>
        <w:t>Функционирање на пазарите на производи</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i/>
          <w:iCs/>
          <w:color w:val="000000"/>
          <w:sz w:val="24"/>
          <w:szCs w:val="24"/>
        </w:rPr>
        <w:t>Деловно опкружување</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b/>
          <w:bCs/>
          <w:color w:val="000000"/>
          <w:sz w:val="24"/>
          <w:szCs w:val="24"/>
        </w:rPr>
        <w:t xml:space="preserve">Предизвиците во деловното опкружување ја поткопуваат конкурентноста на домашните компании, инвестиции и интеграцијата во глобалниот синџир на вредности. </w:t>
      </w:r>
      <w:r w:rsidRPr="009C5D97">
        <w:rPr>
          <w:rFonts w:ascii="Times New Roman" w:hAnsi="Times New Roman"/>
          <w:color w:val="000000"/>
          <w:sz w:val="24"/>
          <w:szCs w:val="24"/>
        </w:rPr>
        <w:t>Економијата на Северна Македонија во голема мера се потпира на нејзината интеграција во глобалните синџири на вредности, особено во автомобилскиот сектор, со увозно ориентираното производство концентрирано меѓу неколку компании. Зависноста од увезените средства ја прави економијата ранлива на надворешни шокови. Таквите конкурентни притисоци се уште повисоки поради ниската продуктивност, што делумно произлегува од недост</w:t>
      </w:r>
      <w:r>
        <w:rPr>
          <w:rFonts w:ascii="Times New Roman" w:hAnsi="Times New Roman"/>
          <w:color w:val="000000"/>
          <w:sz w:val="24"/>
          <w:szCs w:val="24"/>
        </w:rPr>
        <w:t>игот</w:t>
      </w:r>
      <w:r w:rsidRPr="009C5D97">
        <w:rPr>
          <w:rFonts w:ascii="Times New Roman" w:hAnsi="Times New Roman"/>
          <w:color w:val="000000"/>
          <w:sz w:val="24"/>
          <w:szCs w:val="24"/>
        </w:rPr>
        <w:t xml:space="preserve"> на вештини и од бавното усвојување на иновации и нови технологии, како и од комплексната правна и регулаторна средина и големиот обем на неформалната економија. Влијанието на пандемијата на КОВИД-19 и руската инвазија на Украина ги засилија овие структурни предизвици. Владиниот пристап за поедноставување на деловното опкружување не е доволно систематски и доследен.</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F35ECC">
        <w:rPr>
          <w:rFonts w:ascii="Times New Roman" w:hAnsi="Times New Roman"/>
          <w:b/>
          <w:bCs/>
          <w:color w:val="000000"/>
          <w:sz w:val="24"/>
          <w:szCs w:val="24"/>
        </w:rPr>
        <w:t>Владата донекаде има напредок во рационализацијата на различни парафискални давачки</w:t>
      </w:r>
      <w:r w:rsidRPr="009C5D97">
        <w:rPr>
          <w:rFonts w:ascii="Times New Roman" w:hAnsi="Times New Roman"/>
          <w:b/>
          <w:bCs/>
          <w:color w:val="000000"/>
          <w:sz w:val="24"/>
          <w:szCs w:val="24"/>
        </w:rPr>
        <w:t xml:space="preserve">. </w:t>
      </w:r>
      <w:r w:rsidRPr="009C5D97">
        <w:rPr>
          <w:rFonts w:ascii="Times New Roman" w:hAnsi="Times New Roman"/>
          <w:color w:val="000000"/>
          <w:sz w:val="24"/>
          <w:szCs w:val="24"/>
        </w:rPr>
        <w:t>Активностите за оптимизација, консолид</w:t>
      </w:r>
      <w:r>
        <w:rPr>
          <w:rFonts w:ascii="Times New Roman" w:hAnsi="Times New Roman"/>
          <w:color w:val="000000"/>
          <w:sz w:val="24"/>
          <w:szCs w:val="24"/>
        </w:rPr>
        <w:t>ација</w:t>
      </w:r>
      <w:r w:rsidRPr="009C5D97">
        <w:rPr>
          <w:rFonts w:ascii="Times New Roman" w:hAnsi="Times New Roman"/>
          <w:color w:val="000000"/>
          <w:sz w:val="24"/>
          <w:szCs w:val="24"/>
        </w:rPr>
        <w:t xml:space="preserve"> и рационализација на парафискалните давачки се во тек. Владата го задолжи Министерството за економија да го координира процесот, но Владата како целина</w:t>
      </w:r>
      <w:r w:rsidR="00AF05B3">
        <w:rPr>
          <w:rFonts w:ascii="Times New Roman" w:hAnsi="Times New Roman"/>
          <w:color w:val="000000"/>
          <w:sz w:val="24"/>
          <w:szCs w:val="24"/>
        </w:rPr>
        <w:t xml:space="preserve"> </w:t>
      </w:r>
      <w:r w:rsidRPr="009C5D97">
        <w:rPr>
          <w:rFonts w:ascii="Times New Roman" w:hAnsi="Times New Roman"/>
          <w:color w:val="000000"/>
          <w:sz w:val="24"/>
          <w:szCs w:val="24"/>
        </w:rPr>
        <w:t xml:space="preserve">треба да ја донесе одлуката за рационализација на 100 избрани парафискални давачки. Се </w:t>
      </w:r>
      <w:r>
        <w:rPr>
          <w:rFonts w:ascii="Times New Roman" w:hAnsi="Times New Roman"/>
          <w:color w:val="000000"/>
          <w:sz w:val="24"/>
          <w:szCs w:val="24"/>
        </w:rPr>
        <w:t>развлекува</w:t>
      </w:r>
      <w:r w:rsidRPr="009C5D97">
        <w:rPr>
          <w:rFonts w:ascii="Times New Roman" w:hAnsi="Times New Roman"/>
          <w:color w:val="000000"/>
          <w:sz w:val="24"/>
          <w:szCs w:val="24"/>
        </w:rPr>
        <w:t xml:space="preserve"> спроведувањето на другите клучни мерки за подобрување на деловното опкружување, како што е спроведувањето на Законот за инспекциски надзор од 2019 година и спроведувањето транспарентни и доследни постапки за инспекциски надзор. </w:t>
      </w:r>
      <w:r>
        <w:rPr>
          <w:rFonts w:ascii="Times New Roman" w:hAnsi="Times New Roman"/>
          <w:color w:val="000000"/>
          <w:sz w:val="24"/>
          <w:szCs w:val="24"/>
        </w:rPr>
        <w:t>С</w:t>
      </w:r>
      <w:r w:rsidRPr="009C5D97">
        <w:rPr>
          <w:rFonts w:ascii="Times New Roman" w:hAnsi="Times New Roman"/>
          <w:color w:val="000000"/>
          <w:sz w:val="24"/>
          <w:szCs w:val="24"/>
        </w:rPr>
        <w:t xml:space="preserve">è уште не е донесен </w:t>
      </w:r>
      <w:r>
        <w:rPr>
          <w:rFonts w:ascii="Times New Roman" w:hAnsi="Times New Roman"/>
          <w:color w:val="000000"/>
          <w:sz w:val="24"/>
          <w:szCs w:val="24"/>
        </w:rPr>
        <w:t>н</w:t>
      </w:r>
      <w:r w:rsidRPr="009C5D97">
        <w:rPr>
          <w:rFonts w:ascii="Times New Roman" w:hAnsi="Times New Roman"/>
          <w:color w:val="000000"/>
          <w:sz w:val="24"/>
          <w:szCs w:val="24"/>
        </w:rPr>
        <w:t xml:space="preserve">овиот Закон за стечај, наменет да го олесни излегувањето од пазарот преку намалување на трошоците и времетраењето на постапките. Употребата на скратени постапки за јавни консултации не е намалена, додека контролата на квалитетот и </w:t>
      </w:r>
      <w:r w:rsidRPr="009C5D97">
        <w:rPr>
          <w:rFonts w:ascii="Times New Roman" w:hAnsi="Times New Roman"/>
          <w:i/>
          <w:iCs/>
          <w:color w:val="000000"/>
          <w:sz w:val="24"/>
          <w:szCs w:val="24"/>
        </w:rPr>
        <w:t>екс пост</w:t>
      </w:r>
      <w:r w:rsidRPr="009C5D97">
        <w:rPr>
          <w:rFonts w:ascii="Times New Roman" w:hAnsi="Times New Roman"/>
          <w:color w:val="000000"/>
          <w:sz w:val="24"/>
          <w:szCs w:val="24"/>
        </w:rPr>
        <w:t xml:space="preserve"> последователното следење на консултациите </w:t>
      </w:r>
      <w:r>
        <w:rPr>
          <w:rFonts w:ascii="Times New Roman" w:hAnsi="Times New Roman"/>
          <w:color w:val="000000"/>
          <w:sz w:val="24"/>
          <w:szCs w:val="24"/>
        </w:rPr>
        <w:t>и понатаму</w:t>
      </w:r>
      <w:r w:rsidRPr="009C5D97">
        <w:rPr>
          <w:rFonts w:ascii="Times New Roman" w:hAnsi="Times New Roman"/>
          <w:color w:val="000000"/>
          <w:sz w:val="24"/>
          <w:szCs w:val="24"/>
        </w:rPr>
        <w:t xml:space="preserve"> не</w:t>
      </w:r>
      <w:r>
        <w:rPr>
          <w:rFonts w:ascii="Times New Roman" w:hAnsi="Times New Roman"/>
          <w:color w:val="000000"/>
          <w:sz w:val="24"/>
          <w:szCs w:val="24"/>
        </w:rPr>
        <w:t xml:space="preserve"> се </w:t>
      </w:r>
      <w:r w:rsidRPr="009C5D97">
        <w:rPr>
          <w:rFonts w:ascii="Times New Roman" w:hAnsi="Times New Roman"/>
          <w:color w:val="000000"/>
          <w:sz w:val="24"/>
          <w:szCs w:val="24"/>
        </w:rPr>
        <w:t xml:space="preserve">доволни. Во тек е работата за надградба на е-порталот со цел да се развие испорака </w:t>
      </w:r>
      <w:r>
        <w:rPr>
          <w:rFonts w:ascii="Times New Roman" w:hAnsi="Times New Roman"/>
          <w:color w:val="000000"/>
          <w:sz w:val="24"/>
          <w:szCs w:val="24"/>
        </w:rPr>
        <w:t xml:space="preserve">на </w:t>
      </w:r>
      <w:r w:rsidRPr="009C5D97">
        <w:rPr>
          <w:rFonts w:ascii="Times New Roman" w:hAnsi="Times New Roman"/>
          <w:color w:val="000000"/>
          <w:sz w:val="24"/>
          <w:szCs w:val="24"/>
        </w:rPr>
        <w:t xml:space="preserve">услуги со поголема корисничка ориентираност. Бројот на регистрирани корисници и на завршени услуги на порталот се зголемува, но </w:t>
      </w:r>
      <w:r>
        <w:rPr>
          <w:rFonts w:ascii="Times New Roman" w:hAnsi="Times New Roman"/>
          <w:color w:val="000000"/>
          <w:sz w:val="24"/>
          <w:szCs w:val="24"/>
        </w:rPr>
        <w:t>и понатаму е</w:t>
      </w:r>
      <w:r w:rsidRPr="009C5D97">
        <w:rPr>
          <w:rFonts w:ascii="Times New Roman" w:hAnsi="Times New Roman"/>
          <w:color w:val="000000"/>
          <w:sz w:val="24"/>
          <w:szCs w:val="24"/>
        </w:rPr>
        <w:t xml:space="preserve"> под очекувањата. Многу од овие услуги </w:t>
      </w:r>
      <w:r>
        <w:rPr>
          <w:rFonts w:ascii="Times New Roman" w:hAnsi="Times New Roman"/>
          <w:color w:val="000000"/>
          <w:sz w:val="24"/>
          <w:szCs w:val="24"/>
        </w:rPr>
        <w:t>сè уште се</w:t>
      </w:r>
      <w:r w:rsidRPr="009C5D97">
        <w:rPr>
          <w:rFonts w:ascii="Times New Roman" w:hAnsi="Times New Roman"/>
          <w:color w:val="000000"/>
          <w:sz w:val="24"/>
          <w:szCs w:val="24"/>
        </w:rPr>
        <w:t xml:space="preserve"> чисто информативни и не мож</w:t>
      </w:r>
      <w:r>
        <w:rPr>
          <w:rFonts w:ascii="Times New Roman" w:hAnsi="Times New Roman"/>
          <w:color w:val="000000"/>
          <w:sz w:val="24"/>
          <w:szCs w:val="24"/>
        </w:rPr>
        <w:t>е</w:t>
      </w:r>
      <w:r w:rsidRPr="009C5D97">
        <w:rPr>
          <w:rFonts w:ascii="Times New Roman" w:hAnsi="Times New Roman"/>
          <w:color w:val="000000"/>
          <w:sz w:val="24"/>
          <w:szCs w:val="24"/>
        </w:rPr>
        <w:t xml:space="preserve"> целосно да се извршат онлајн (ОЕЦД, 2022 година).</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b/>
          <w:bCs/>
          <w:color w:val="000000"/>
          <w:sz w:val="24"/>
          <w:szCs w:val="24"/>
        </w:rPr>
        <w:t xml:space="preserve">Предизвиците што ги носи големата неформална економија не се третираат решително. </w:t>
      </w:r>
      <w:r w:rsidRPr="009C5D97">
        <w:rPr>
          <w:rFonts w:ascii="Times New Roman" w:hAnsi="Times New Roman"/>
          <w:color w:val="000000"/>
          <w:sz w:val="24"/>
          <w:szCs w:val="24"/>
        </w:rPr>
        <w:t>Неформалната економија и натаму претставува значајна пречка за работата на деловните субјекти. Според</w:t>
      </w:r>
      <w:r w:rsidRPr="009C5D97">
        <w:rPr>
          <w:rFonts w:ascii="Times New Roman" w:hAnsi="Times New Roman"/>
          <w:color w:val="000000"/>
          <w:sz w:val="44"/>
          <w:szCs w:val="24"/>
        </w:rPr>
        <w:t xml:space="preserve"> </w:t>
      </w:r>
      <w:r w:rsidRPr="009C5D97">
        <w:rPr>
          <w:rFonts w:ascii="Times New Roman" w:hAnsi="Times New Roman"/>
          <w:color w:val="000000"/>
          <w:sz w:val="24"/>
          <w:szCs w:val="14"/>
        </w:rPr>
        <w:t xml:space="preserve">процените </w:t>
      </w:r>
      <w:r w:rsidRPr="009C5D97">
        <w:rPr>
          <w:rFonts w:ascii="Times New Roman" w:hAnsi="Times New Roman"/>
          <w:color w:val="000000"/>
          <w:sz w:val="24"/>
          <w:szCs w:val="24"/>
        </w:rPr>
        <w:t>на</w:t>
      </w:r>
      <w:r w:rsidRPr="009C5D97">
        <w:rPr>
          <w:rFonts w:ascii="Times New Roman" w:hAnsi="Times New Roman"/>
          <w:color w:val="000000"/>
          <w:sz w:val="14"/>
          <w:szCs w:val="14"/>
        </w:rPr>
        <w:t xml:space="preserve"> </w:t>
      </w:r>
      <w:r w:rsidRPr="009C5D97">
        <w:rPr>
          <w:rFonts w:ascii="Times New Roman" w:hAnsi="Times New Roman"/>
          <w:color w:val="000000"/>
          <w:sz w:val="24"/>
          <w:szCs w:val="24"/>
        </w:rPr>
        <w:t>ММФ</w:t>
      </w:r>
      <w:r>
        <w:rPr>
          <w:rFonts w:ascii="Times New Roman" w:hAnsi="Times New Roman"/>
          <w:color w:val="000000"/>
          <w:sz w:val="24"/>
          <w:szCs w:val="24"/>
        </w:rPr>
        <w:t>,</w:t>
      </w:r>
      <w:r w:rsidRPr="009C5D97">
        <w:rPr>
          <w:rFonts w:ascii="Times New Roman" w:hAnsi="Times New Roman"/>
          <w:color w:val="000000"/>
          <w:sz w:val="14"/>
          <w:szCs w:val="14"/>
        </w:rPr>
        <w:t xml:space="preserve"> </w:t>
      </w:r>
      <w:r w:rsidRPr="009C5D97">
        <w:rPr>
          <w:rFonts w:ascii="Times New Roman" w:hAnsi="Times New Roman"/>
          <w:color w:val="000000"/>
          <w:sz w:val="24"/>
          <w:szCs w:val="24"/>
        </w:rPr>
        <w:t>веројатно</w:t>
      </w:r>
      <w:r w:rsidRPr="009C5D97">
        <w:rPr>
          <w:rFonts w:ascii="Times New Roman" w:hAnsi="Times New Roman"/>
          <w:color w:val="000000"/>
          <w:sz w:val="14"/>
          <w:szCs w:val="14"/>
        </w:rPr>
        <w:t xml:space="preserve"> </w:t>
      </w:r>
      <w:r w:rsidRPr="009C5D97">
        <w:rPr>
          <w:rFonts w:ascii="Times New Roman" w:hAnsi="Times New Roman"/>
          <w:color w:val="000000"/>
          <w:sz w:val="24"/>
          <w:szCs w:val="24"/>
        </w:rPr>
        <w:t>е</w:t>
      </w:r>
      <w:r w:rsidRPr="009C5D97">
        <w:rPr>
          <w:rFonts w:ascii="Times New Roman" w:hAnsi="Times New Roman"/>
          <w:color w:val="000000"/>
          <w:sz w:val="14"/>
          <w:szCs w:val="14"/>
        </w:rPr>
        <w:t xml:space="preserve"> </w:t>
      </w:r>
      <w:r w:rsidRPr="009C5D97">
        <w:rPr>
          <w:rFonts w:ascii="Times New Roman" w:hAnsi="Times New Roman"/>
          <w:color w:val="000000"/>
          <w:sz w:val="24"/>
          <w:szCs w:val="24"/>
        </w:rPr>
        <w:t>дека</w:t>
      </w:r>
      <w:r w:rsidRPr="009C5D97">
        <w:rPr>
          <w:rFonts w:ascii="Times New Roman" w:hAnsi="Times New Roman"/>
          <w:color w:val="000000"/>
          <w:sz w:val="14"/>
          <w:szCs w:val="14"/>
        </w:rPr>
        <w:t xml:space="preserve"> </w:t>
      </w:r>
      <w:r w:rsidRPr="009C5D97">
        <w:rPr>
          <w:rFonts w:ascii="Times New Roman" w:hAnsi="Times New Roman"/>
          <w:color w:val="000000"/>
          <w:sz w:val="24"/>
          <w:szCs w:val="24"/>
        </w:rPr>
        <w:t>таа</w:t>
      </w:r>
      <w:r w:rsidRPr="009C5D97">
        <w:rPr>
          <w:rFonts w:ascii="Times New Roman" w:hAnsi="Times New Roman"/>
          <w:color w:val="000000"/>
          <w:sz w:val="14"/>
          <w:szCs w:val="14"/>
        </w:rPr>
        <w:t xml:space="preserve"> </w:t>
      </w:r>
      <w:r w:rsidRPr="009C5D97">
        <w:rPr>
          <w:rFonts w:ascii="Times New Roman" w:hAnsi="Times New Roman"/>
          <w:color w:val="000000"/>
          <w:sz w:val="24"/>
          <w:szCs w:val="24"/>
        </w:rPr>
        <w:t>изнесува</w:t>
      </w:r>
      <w:r w:rsidR="00AF05B3">
        <w:rPr>
          <w:rFonts w:ascii="Times New Roman" w:hAnsi="Times New Roman"/>
          <w:color w:val="000000"/>
          <w:sz w:val="14"/>
          <w:szCs w:val="14"/>
        </w:rPr>
        <w:t xml:space="preserve"> </w:t>
      </w:r>
      <w:r w:rsidRPr="009C5D97">
        <w:rPr>
          <w:rFonts w:ascii="Times New Roman" w:hAnsi="Times New Roman"/>
          <w:color w:val="000000"/>
          <w:sz w:val="14"/>
          <w:szCs w:val="14"/>
        </w:rPr>
        <w:t xml:space="preserve"> </w:t>
      </w:r>
      <w:r w:rsidRPr="009C5D97">
        <w:rPr>
          <w:rFonts w:ascii="Times New Roman" w:hAnsi="Times New Roman"/>
          <w:color w:val="000000"/>
          <w:sz w:val="24"/>
          <w:szCs w:val="24"/>
        </w:rPr>
        <w:t>38</w:t>
      </w:r>
      <w:r>
        <w:rPr>
          <w:rFonts w:ascii="Times New Roman" w:hAnsi="Times New Roman"/>
          <w:color w:val="000000"/>
          <w:sz w:val="24"/>
          <w:szCs w:val="24"/>
        </w:rPr>
        <w:t xml:space="preserve"> </w:t>
      </w:r>
      <w:r w:rsidRPr="009C5D97">
        <w:rPr>
          <w:rFonts w:ascii="Times New Roman" w:hAnsi="Times New Roman"/>
          <w:color w:val="000000"/>
          <w:sz w:val="24"/>
          <w:szCs w:val="24"/>
        </w:rPr>
        <w:t>%</w:t>
      </w:r>
      <w:r w:rsidRPr="009C5D97">
        <w:rPr>
          <w:rFonts w:ascii="Times New Roman" w:hAnsi="Times New Roman"/>
          <w:color w:val="000000"/>
          <w:sz w:val="14"/>
          <w:szCs w:val="14"/>
        </w:rPr>
        <w:t xml:space="preserve"> </w:t>
      </w:r>
      <w:r w:rsidRPr="009C5D97">
        <w:rPr>
          <w:rFonts w:ascii="Times New Roman" w:hAnsi="Times New Roman"/>
          <w:color w:val="000000"/>
          <w:sz w:val="24"/>
          <w:szCs w:val="24"/>
        </w:rPr>
        <w:t>од</w:t>
      </w:r>
      <w:r w:rsidRPr="009C5D97">
        <w:rPr>
          <w:rFonts w:ascii="Times New Roman" w:hAnsi="Times New Roman"/>
          <w:color w:val="000000"/>
          <w:sz w:val="14"/>
          <w:szCs w:val="14"/>
        </w:rPr>
        <w:t xml:space="preserve"> </w:t>
      </w:r>
      <w:r w:rsidRPr="009C5D97">
        <w:rPr>
          <w:rFonts w:ascii="Times New Roman" w:hAnsi="Times New Roman"/>
          <w:color w:val="000000"/>
          <w:sz w:val="24"/>
          <w:szCs w:val="24"/>
        </w:rPr>
        <w:t>БДП</w:t>
      </w:r>
      <w:r w:rsidRPr="009C5D97">
        <w:rPr>
          <w:rStyle w:val="FootnoteReference"/>
          <w:rFonts w:ascii="Times New Roman" w:hAnsi="Times New Roman"/>
          <w:color w:val="000000"/>
          <w:sz w:val="24"/>
          <w:szCs w:val="24"/>
        </w:rPr>
        <w:footnoteReference w:id="13"/>
      </w:r>
      <w:r w:rsidRPr="009C5D97">
        <w:rPr>
          <w:rFonts w:ascii="Times New Roman" w:hAnsi="Times New Roman"/>
          <w:color w:val="000000"/>
          <w:sz w:val="14"/>
          <w:szCs w:val="14"/>
        </w:rPr>
        <w:t>.</w:t>
      </w:r>
      <w:r w:rsidR="00AF05B3">
        <w:rPr>
          <w:rFonts w:ascii="Times New Roman" w:hAnsi="Times New Roman"/>
          <w:color w:val="000000"/>
          <w:sz w:val="14"/>
          <w:szCs w:val="14"/>
        </w:rPr>
        <w:t xml:space="preserve"> </w:t>
      </w:r>
      <w:r w:rsidRPr="009C5D97">
        <w:rPr>
          <w:rFonts w:ascii="Times New Roman" w:hAnsi="Times New Roman"/>
          <w:color w:val="000000"/>
          <w:sz w:val="24"/>
          <w:szCs w:val="24"/>
        </w:rPr>
        <w:t>Бројот</w:t>
      </w:r>
      <w:r>
        <w:rPr>
          <w:rFonts w:ascii="Times New Roman" w:hAnsi="Times New Roman"/>
          <w:color w:val="000000"/>
          <w:sz w:val="24"/>
          <w:szCs w:val="24"/>
        </w:rPr>
        <w:t xml:space="preserve"> на</w:t>
      </w:r>
      <w:r w:rsidRPr="009C5D97">
        <w:rPr>
          <w:rFonts w:ascii="Times New Roman" w:hAnsi="Times New Roman"/>
          <w:color w:val="000000"/>
          <w:sz w:val="14"/>
          <w:szCs w:val="14"/>
        </w:rPr>
        <w:t xml:space="preserve"> </w:t>
      </w:r>
      <w:r w:rsidRPr="009C5D97">
        <w:rPr>
          <w:rFonts w:ascii="Times New Roman" w:hAnsi="Times New Roman"/>
          <w:color w:val="000000"/>
          <w:sz w:val="24"/>
          <w:szCs w:val="24"/>
        </w:rPr>
        <w:t>неформални вработени како сооднос со вкупниот број вработени се проценува дека се намалил од 18,6</w:t>
      </w:r>
      <w:r>
        <w:rPr>
          <w:rFonts w:ascii="Times New Roman" w:hAnsi="Times New Roman"/>
          <w:color w:val="000000"/>
          <w:sz w:val="24"/>
          <w:szCs w:val="24"/>
        </w:rPr>
        <w:t xml:space="preserve"> </w:t>
      </w:r>
      <w:r w:rsidRPr="009C5D97">
        <w:rPr>
          <w:rFonts w:ascii="Times New Roman" w:hAnsi="Times New Roman"/>
          <w:color w:val="000000"/>
          <w:sz w:val="24"/>
          <w:szCs w:val="24"/>
        </w:rPr>
        <w:t>% во 2018 година на 13</w:t>
      </w:r>
      <w:r>
        <w:rPr>
          <w:rFonts w:ascii="Times New Roman" w:hAnsi="Times New Roman"/>
          <w:color w:val="000000"/>
          <w:sz w:val="24"/>
          <w:szCs w:val="24"/>
        </w:rPr>
        <w:t xml:space="preserve"> </w:t>
      </w:r>
      <w:r w:rsidRPr="009C5D97">
        <w:rPr>
          <w:rFonts w:ascii="Times New Roman" w:hAnsi="Times New Roman"/>
          <w:color w:val="000000"/>
          <w:sz w:val="24"/>
          <w:szCs w:val="24"/>
        </w:rPr>
        <w:t>% во 2022 година. Спроведувањето на</w:t>
      </w:r>
      <w:r w:rsidR="00F433D8">
        <w:rPr>
          <w:rFonts w:ascii="Times New Roman" w:hAnsi="Times New Roman"/>
          <w:color w:val="000000"/>
          <w:sz w:val="24"/>
          <w:szCs w:val="24"/>
        </w:rPr>
        <w:t xml:space="preserve"> </w:t>
      </w:r>
      <w:r w:rsidRPr="00DE0D3B">
        <w:rPr>
          <w:rFonts w:ascii="Times New Roman" w:hAnsi="Times New Roman"/>
          <w:color w:val="000000"/>
          <w:sz w:val="24"/>
          <w:szCs w:val="24"/>
        </w:rPr>
        <w:t>владината Стратегија за борба против неформалната економија</w:t>
      </w:r>
      <w:r>
        <w:rPr>
          <w:rFonts w:ascii="Times New Roman" w:hAnsi="Times New Roman"/>
          <w:color w:val="000000"/>
          <w:sz w:val="24"/>
          <w:szCs w:val="24"/>
        </w:rPr>
        <w:t xml:space="preserve"> </w:t>
      </w:r>
      <w:r w:rsidRPr="00DE0D3B">
        <w:rPr>
          <w:rFonts w:ascii="Times New Roman" w:hAnsi="Times New Roman"/>
          <w:color w:val="000000"/>
          <w:sz w:val="24"/>
          <w:szCs w:val="24"/>
        </w:rPr>
        <w:t xml:space="preserve">од 2018 година и на Акцискиот план </w:t>
      </w:r>
      <w:r>
        <w:rPr>
          <w:rFonts w:ascii="Times New Roman" w:hAnsi="Times New Roman"/>
          <w:color w:val="000000"/>
          <w:sz w:val="24"/>
          <w:szCs w:val="24"/>
        </w:rPr>
        <w:t>и понатаму е</w:t>
      </w:r>
      <w:r w:rsidRPr="009C5D97">
        <w:rPr>
          <w:rFonts w:ascii="Times New Roman" w:hAnsi="Times New Roman"/>
          <w:color w:val="000000"/>
          <w:sz w:val="24"/>
          <w:szCs w:val="24"/>
        </w:rPr>
        <w:t xml:space="preserve"> бавно, особено во однос на формализирањето на непријавените работници. Во октомври 2022 година, за да се овозможи поефикасна координација меѓу релевантните институции и засегнати</w:t>
      </w:r>
      <w:r>
        <w:rPr>
          <w:rFonts w:ascii="Times New Roman" w:hAnsi="Times New Roman"/>
          <w:color w:val="000000"/>
          <w:sz w:val="24"/>
          <w:szCs w:val="24"/>
        </w:rPr>
        <w:t>те</w:t>
      </w:r>
      <w:r w:rsidRPr="009C5D97">
        <w:rPr>
          <w:rFonts w:ascii="Times New Roman" w:hAnsi="Times New Roman"/>
          <w:color w:val="000000"/>
          <w:sz w:val="24"/>
          <w:szCs w:val="24"/>
        </w:rPr>
        <w:t xml:space="preserve"> страни, Министерството за финансии ја презе</w:t>
      </w:r>
      <w:r>
        <w:rPr>
          <w:rFonts w:ascii="Times New Roman" w:hAnsi="Times New Roman"/>
          <w:color w:val="000000"/>
          <w:sz w:val="24"/>
          <w:szCs w:val="24"/>
        </w:rPr>
        <w:t>де</w:t>
      </w:r>
      <w:r w:rsidRPr="009C5D97">
        <w:rPr>
          <w:rFonts w:ascii="Times New Roman" w:hAnsi="Times New Roman"/>
          <w:color w:val="000000"/>
          <w:sz w:val="24"/>
          <w:szCs w:val="24"/>
        </w:rPr>
        <w:t xml:space="preserve"> одговорноста за изготвување на новата Стратегија за формализирање на неформалната економија </w:t>
      </w:r>
      <w:r>
        <w:rPr>
          <w:rFonts w:ascii="Times New Roman" w:hAnsi="Times New Roman"/>
          <w:color w:val="000000"/>
          <w:sz w:val="24"/>
          <w:szCs w:val="24"/>
        </w:rPr>
        <w:t>(</w:t>
      </w:r>
      <w:r w:rsidRPr="009C5D97">
        <w:rPr>
          <w:rFonts w:ascii="Times New Roman" w:hAnsi="Times New Roman"/>
          <w:color w:val="000000"/>
          <w:sz w:val="24"/>
          <w:szCs w:val="24"/>
        </w:rPr>
        <w:t>2023</w:t>
      </w:r>
      <w:r>
        <w:rPr>
          <w:rFonts w:ascii="Times New Roman" w:hAnsi="Times New Roman"/>
          <w:color w:val="000000"/>
          <w:sz w:val="24"/>
          <w:szCs w:val="24"/>
        </w:rPr>
        <w:t xml:space="preserve"> - </w:t>
      </w:r>
      <w:r w:rsidRPr="009C5D97">
        <w:rPr>
          <w:rFonts w:ascii="Times New Roman" w:hAnsi="Times New Roman"/>
          <w:color w:val="000000"/>
          <w:sz w:val="24"/>
          <w:szCs w:val="24"/>
        </w:rPr>
        <w:t>2027</w:t>
      </w:r>
      <w:r>
        <w:rPr>
          <w:rFonts w:ascii="Times New Roman" w:hAnsi="Times New Roman"/>
          <w:color w:val="000000"/>
          <w:sz w:val="24"/>
          <w:szCs w:val="24"/>
        </w:rPr>
        <w:t>)</w:t>
      </w:r>
      <w:r w:rsidRPr="009C5D97">
        <w:rPr>
          <w:rFonts w:ascii="Times New Roman" w:hAnsi="Times New Roman"/>
          <w:color w:val="000000"/>
          <w:sz w:val="24"/>
          <w:szCs w:val="24"/>
        </w:rPr>
        <w:t xml:space="preserve"> со </w:t>
      </w:r>
      <w:r>
        <w:rPr>
          <w:rFonts w:ascii="Times New Roman" w:hAnsi="Times New Roman"/>
          <w:color w:val="000000"/>
          <w:sz w:val="24"/>
          <w:szCs w:val="24"/>
        </w:rPr>
        <w:t>А</w:t>
      </w:r>
      <w:r w:rsidRPr="009C5D97">
        <w:rPr>
          <w:rFonts w:ascii="Times New Roman" w:hAnsi="Times New Roman"/>
          <w:color w:val="000000"/>
          <w:sz w:val="24"/>
          <w:szCs w:val="24"/>
        </w:rPr>
        <w:t>кциски план што Владата ги донесе во септември 2023 година. На крајот од 2022 година Владата го доне</w:t>
      </w:r>
      <w:r>
        <w:rPr>
          <w:rFonts w:ascii="Times New Roman" w:hAnsi="Times New Roman"/>
          <w:color w:val="000000"/>
          <w:sz w:val="24"/>
          <w:szCs w:val="24"/>
        </w:rPr>
        <w:t>се</w:t>
      </w:r>
      <w:r w:rsidRPr="009C5D97">
        <w:rPr>
          <w:rFonts w:ascii="Times New Roman" w:hAnsi="Times New Roman"/>
          <w:color w:val="000000"/>
          <w:sz w:val="24"/>
          <w:szCs w:val="24"/>
        </w:rPr>
        <w:t xml:space="preserve"> даночното законодавство за да ја зајакне културата за плаќање данок и со тоа да се бори против неформалната економија. Неформалниот сектор во земјата има различни форми, од кои најистакнати се непријавената работна сила, делумно непријавените плати и други нерегуларности во спроведувањето на Законот за работните односи.</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i/>
          <w:iCs/>
          <w:color w:val="000000"/>
          <w:sz w:val="24"/>
          <w:szCs w:val="24"/>
        </w:rPr>
        <w:t>Влијание на државата врз пазарот на производи</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bookmarkStart w:id="31" w:name="bookmark23"/>
      <w:r w:rsidRPr="009C5D97">
        <w:rPr>
          <w:rFonts w:ascii="Times New Roman" w:hAnsi="Times New Roman"/>
          <w:b/>
          <w:bCs/>
          <w:color w:val="000000"/>
          <w:sz w:val="24"/>
          <w:szCs w:val="24"/>
        </w:rPr>
        <w:t>Т</w:t>
      </w:r>
      <w:bookmarkEnd w:id="31"/>
      <w:r w:rsidRPr="009C5D97">
        <w:rPr>
          <w:rFonts w:ascii="Times New Roman" w:hAnsi="Times New Roman"/>
          <w:b/>
          <w:bCs/>
          <w:color w:val="000000"/>
          <w:sz w:val="24"/>
          <w:szCs w:val="24"/>
        </w:rPr>
        <w:t xml:space="preserve">ранспарентноста и ефикасноста на државната помош </w:t>
      </w:r>
      <w:r>
        <w:rPr>
          <w:rFonts w:ascii="Times New Roman" w:hAnsi="Times New Roman"/>
          <w:b/>
          <w:bCs/>
          <w:color w:val="000000"/>
          <w:sz w:val="24"/>
          <w:szCs w:val="24"/>
        </w:rPr>
        <w:t>и понатаму се</w:t>
      </w:r>
      <w:r w:rsidRPr="009C5D97">
        <w:rPr>
          <w:rFonts w:ascii="Times New Roman" w:hAnsi="Times New Roman"/>
          <w:b/>
          <w:bCs/>
          <w:color w:val="000000"/>
          <w:sz w:val="24"/>
          <w:szCs w:val="24"/>
        </w:rPr>
        <w:t xml:space="preserve"> дефицитарни. </w:t>
      </w:r>
      <w:r w:rsidRPr="009C5D97">
        <w:rPr>
          <w:rFonts w:ascii="Times New Roman" w:hAnsi="Times New Roman"/>
          <w:color w:val="000000"/>
          <w:sz w:val="24"/>
          <w:szCs w:val="24"/>
        </w:rPr>
        <w:t>Наместо да се посвети на</w:t>
      </w:r>
      <w:r w:rsidRPr="009C5D97">
        <w:rPr>
          <w:rFonts w:ascii="Times New Roman" w:hAnsi="Times New Roman"/>
          <w:sz w:val="24"/>
          <w:szCs w:val="24"/>
        </w:rPr>
        <w:t xml:space="preserve"> </w:t>
      </w:r>
      <w:r w:rsidRPr="009C5D97">
        <w:rPr>
          <w:rFonts w:ascii="Times New Roman" w:hAnsi="Times New Roman"/>
          <w:color w:val="000000"/>
          <w:sz w:val="24"/>
          <w:szCs w:val="24"/>
        </w:rPr>
        <w:t xml:space="preserve">основните предизвици на земјата и прашањата со деловното опкружување, водечката политика на Владата за привлекување СДИ и за подобрување на конкурентноста на домашните компании се потпира </w:t>
      </w:r>
      <w:r>
        <w:rPr>
          <w:rFonts w:ascii="Times New Roman" w:hAnsi="Times New Roman"/>
          <w:color w:val="000000"/>
          <w:sz w:val="24"/>
          <w:szCs w:val="24"/>
        </w:rPr>
        <w:t>врз</w:t>
      </w:r>
      <w:r w:rsidRPr="009C5D97">
        <w:rPr>
          <w:rFonts w:ascii="Times New Roman" w:hAnsi="Times New Roman"/>
          <w:color w:val="000000"/>
          <w:sz w:val="24"/>
          <w:szCs w:val="24"/>
        </w:rPr>
        <w:t xml:space="preserve"> обезбедување различни фор</w:t>
      </w:r>
      <w:r>
        <w:rPr>
          <w:rFonts w:ascii="Times New Roman" w:hAnsi="Times New Roman"/>
          <w:color w:val="000000"/>
          <w:sz w:val="24"/>
          <w:szCs w:val="24"/>
        </w:rPr>
        <w:t>м</w:t>
      </w:r>
      <w:r w:rsidRPr="009C5D97">
        <w:rPr>
          <w:rFonts w:ascii="Times New Roman" w:hAnsi="Times New Roman"/>
          <w:color w:val="000000"/>
          <w:sz w:val="24"/>
          <w:szCs w:val="24"/>
        </w:rPr>
        <w:t>и државна помош за бизнисите. Сѐ уште не се оценети ефектите од државната помош врз ефикасноста и конкуренцијата. Транспарентноста и ефективноста на државната помош се засегнати од високиот број даватели на државна помош, од недост</w:t>
      </w:r>
      <w:r>
        <w:rPr>
          <w:rFonts w:ascii="Times New Roman" w:hAnsi="Times New Roman"/>
          <w:color w:val="000000"/>
          <w:sz w:val="24"/>
          <w:szCs w:val="24"/>
        </w:rPr>
        <w:t>игот</w:t>
      </w:r>
      <w:r w:rsidRPr="009C5D97">
        <w:rPr>
          <w:rFonts w:ascii="Times New Roman" w:hAnsi="Times New Roman"/>
          <w:color w:val="000000"/>
          <w:sz w:val="24"/>
          <w:szCs w:val="24"/>
        </w:rPr>
        <w:t xml:space="preserve"> на ажуриран регистар и од сè уште маргиналните надлежности на Комисијата за заштита на конкуренцијата при надзорот на државната помош. Јавните информации обезбедени од Владата за државна помош на компаниите </w:t>
      </w:r>
      <w:r>
        <w:rPr>
          <w:rFonts w:ascii="Times New Roman" w:hAnsi="Times New Roman"/>
          <w:color w:val="000000"/>
          <w:sz w:val="24"/>
          <w:szCs w:val="24"/>
        </w:rPr>
        <w:t>и понатаму се</w:t>
      </w:r>
      <w:r w:rsidRPr="009C5D97">
        <w:rPr>
          <w:rFonts w:ascii="Times New Roman" w:hAnsi="Times New Roman"/>
          <w:color w:val="000000"/>
          <w:sz w:val="24"/>
          <w:szCs w:val="24"/>
        </w:rPr>
        <w:t xml:space="preserve"> нецелосни, а критериумите за избор на корисниците чесно се нејасни. Како предуслов за формирање регистар за државна помош, Владата воспостав</w:t>
      </w:r>
      <w:r>
        <w:rPr>
          <w:rFonts w:ascii="Times New Roman" w:hAnsi="Times New Roman"/>
          <w:color w:val="000000"/>
          <w:sz w:val="24"/>
          <w:szCs w:val="24"/>
        </w:rPr>
        <w:t>и</w:t>
      </w:r>
      <w:r w:rsidRPr="009C5D97">
        <w:rPr>
          <w:rFonts w:ascii="Times New Roman" w:hAnsi="Times New Roman"/>
          <w:color w:val="000000"/>
          <w:sz w:val="24"/>
          <w:szCs w:val="24"/>
        </w:rPr>
        <w:t xml:space="preserve"> информациски систем за управување што поврзува различни институции, но, во целина, процесот е одложен. Нема стратегија за соодветно утврдување на приоритетите, целите и политиките за инвестициските активности во технолошките индустриски развојни зони на земјата.</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b/>
          <w:bCs/>
          <w:color w:val="000000"/>
          <w:sz w:val="24"/>
          <w:szCs w:val="24"/>
        </w:rPr>
        <w:t xml:space="preserve">Конкуренцијата на пазарот на енергија се зголемува. </w:t>
      </w:r>
      <w:r w:rsidRPr="009C5D97">
        <w:rPr>
          <w:rFonts w:ascii="Times New Roman" w:hAnsi="Times New Roman"/>
          <w:color w:val="000000"/>
          <w:sz w:val="24"/>
          <w:szCs w:val="24"/>
        </w:rPr>
        <w:t>Иако пазарот на енергија</w:t>
      </w:r>
      <w:r w:rsidR="00AF05B3">
        <w:rPr>
          <w:rFonts w:ascii="Times New Roman" w:hAnsi="Times New Roman"/>
          <w:color w:val="000000"/>
          <w:sz w:val="24"/>
          <w:szCs w:val="24"/>
        </w:rPr>
        <w:t xml:space="preserve"> </w:t>
      </w:r>
      <w:r w:rsidRPr="009C5D97">
        <w:rPr>
          <w:rFonts w:ascii="Times New Roman" w:hAnsi="Times New Roman"/>
          <w:color w:val="000000"/>
          <w:sz w:val="24"/>
          <w:szCs w:val="24"/>
        </w:rPr>
        <w:t xml:space="preserve">целосно </w:t>
      </w:r>
      <w:r>
        <w:rPr>
          <w:rFonts w:ascii="Times New Roman" w:hAnsi="Times New Roman"/>
          <w:color w:val="000000"/>
          <w:sz w:val="24"/>
          <w:szCs w:val="24"/>
        </w:rPr>
        <w:t xml:space="preserve">е </w:t>
      </w:r>
      <w:r w:rsidRPr="009C5D97">
        <w:rPr>
          <w:rFonts w:ascii="Times New Roman" w:hAnsi="Times New Roman"/>
          <w:color w:val="000000"/>
          <w:sz w:val="24"/>
          <w:szCs w:val="24"/>
        </w:rPr>
        <w:t>либерализиран во 2019 година, речиси сите домаќинства и мали компании остан</w:t>
      </w:r>
      <w:r>
        <w:rPr>
          <w:rFonts w:ascii="Times New Roman" w:hAnsi="Times New Roman"/>
          <w:color w:val="000000"/>
          <w:sz w:val="24"/>
          <w:szCs w:val="24"/>
        </w:rPr>
        <w:t>аа</w:t>
      </w:r>
      <w:r w:rsidRPr="009C5D97">
        <w:rPr>
          <w:rFonts w:ascii="Times New Roman" w:hAnsi="Times New Roman"/>
          <w:color w:val="000000"/>
          <w:sz w:val="24"/>
          <w:szCs w:val="24"/>
        </w:rPr>
        <w:t xml:space="preserve"> во регулираниот пазар на електрична енергија и им се обезбедува сериозно субвенционирана струја. Во последниот квартал од </w:t>
      </w:r>
      <w:r w:rsidRPr="00B926B5">
        <w:rPr>
          <w:rFonts w:ascii="Times New Roman" w:hAnsi="Times New Roman"/>
          <w:color w:val="000000"/>
          <w:sz w:val="24"/>
          <w:szCs w:val="24"/>
        </w:rPr>
        <w:t>20</w:t>
      </w:r>
      <w:r w:rsidRPr="00721A72">
        <w:rPr>
          <w:rFonts w:ascii="Times New Roman" w:hAnsi="Times New Roman"/>
          <w:color w:val="000000"/>
          <w:sz w:val="24"/>
          <w:szCs w:val="24"/>
        </w:rPr>
        <w:t>2</w:t>
      </w:r>
      <w:r w:rsidRPr="00B926B5">
        <w:rPr>
          <w:rFonts w:ascii="Times New Roman" w:hAnsi="Times New Roman"/>
          <w:color w:val="000000"/>
          <w:sz w:val="24"/>
          <w:szCs w:val="24"/>
        </w:rPr>
        <w:t>2</w:t>
      </w:r>
      <w:r w:rsidRPr="009C5D97">
        <w:rPr>
          <w:rFonts w:ascii="Times New Roman" w:hAnsi="Times New Roman"/>
          <w:color w:val="000000"/>
          <w:sz w:val="24"/>
          <w:szCs w:val="24"/>
        </w:rPr>
        <w:t xml:space="preserve"> година 24.639 потрошувачи (според мерни места) купува</w:t>
      </w:r>
      <w:r>
        <w:rPr>
          <w:rFonts w:ascii="Times New Roman" w:hAnsi="Times New Roman"/>
          <w:color w:val="000000"/>
          <w:sz w:val="24"/>
          <w:szCs w:val="24"/>
        </w:rPr>
        <w:t>ле</w:t>
      </w:r>
      <w:r w:rsidRPr="009C5D97">
        <w:rPr>
          <w:rFonts w:ascii="Times New Roman" w:hAnsi="Times New Roman"/>
          <w:color w:val="000000"/>
          <w:sz w:val="24"/>
          <w:szCs w:val="24"/>
        </w:rPr>
        <w:t xml:space="preserve"> струја од активни снабдувачи на отворениот пазар на електрична енергија, по меѓусебно договорени (нерегулирани) цени. Ова сочинува околу 55</w:t>
      </w:r>
      <w:r>
        <w:rPr>
          <w:rFonts w:ascii="Times New Roman" w:hAnsi="Times New Roman"/>
          <w:color w:val="000000"/>
          <w:sz w:val="24"/>
          <w:szCs w:val="24"/>
        </w:rPr>
        <w:t xml:space="preserve"> </w:t>
      </w:r>
      <w:r w:rsidRPr="009C5D97">
        <w:rPr>
          <w:rFonts w:ascii="Times New Roman" w:hAnsi="Times New Roman"/>
          <w:color w:val="000000"/>
          <w:sz w:val="24"/>
          <w:szCs w:val="24"/>
        </w:rPr>
        <w:t>% од пазарот, во споредба со околу 53</w:t>
      </w:r>
      <w:r>
        <w:rPr>
          <w:rFonts w:ascii="Times New Roman" w:hAnsi="Times New Roman"/>
          <w:color w:val="000000"/>
          <w:sz w:val="24"/>
          <w:szCs w:val="24"/>
        </w:rPr>
        <w:t xml:space="preserve"> </w:t>
      </w:r>
      <w:r w:rsidRPr="009C5D97">
        <w:rPr>
          <w:rFonts w:ascii="Times New Roman" w:hAnsi="Times New Roman"/>
          <w:color w:val="000000"/>
          <w:sz w:val="24"/>
          <w:szCs w:val="24"/>
        </w:rPr>
        <w:t>% на крајот од 2019 година. Во 2022 година, на отворениот пазар има</w:t>
      </w:r>
      <w:r>
        <w:rPr>
          <w:rFonts w:ascii="Times New Roman" w:hAnsi="Times New Roman"/>
          <w:color w:val="000000"/>
          <w:sz w:val="24"/>
          <w:szCs w:val="24"/>
        </w:rPr>
        <w:t>ло</w:t>
      </w:r>
      <w:r w:rsidRPr="009C5D97">
        <w:rPr>
          <w:rFonts w:ascii="Times New Roman" w:hAnsi="Times New Roman"/>
          <w:color w:val="000000"/>
          <w:sz w:val="24"/>
          <w:szCs w:val="24"/>
        </w:rPr>
        <w:t xml:space="preserve"> 18 снабдувачи и еден снабдувач на електрична енергија во регулираниот пазар на електрична енергија. </w:t>
      </w:r>
      <w:r>
        <w:rPr>
          <w:rFonts w:ascii="Times New Roman" w:hAnsi="Times New Roman"/>
          <w:color w:val="000000"/>
          <w:sz w:val="24"/>
          <w:szCs w:val="24"/>
        </w:rPr>
        <w:t>Сè поголем</w:t>
      </w:r>
      <w:r w:rsidRPr="009C5D97">
        <w:rPr>
          <w:rFonts w:ascii="Times New Roman" w:hAnsi="Times New Roman"/>
          <w:color w:val="000000"/>
          <w:sz w:val="24"/>
          <w:szCs w:val="24"/>
        </w:rPr>
        <w:t xml:space="preserve"> број потрошувачи ги менуваат снабдувачите на електрична енергија. Во 2019 година 2.350 потрошувачи го </w:t>
      </w:r>
      <w:r>
        <w:rPr>
          <w:rFonts w:ascii="Times New Roman" w:hAnsi="Times New Roman"/>
          <w:color w:val="000000"/>
          <w:sz w:val="24"/>
          <w:szCs w:val="24"/>
        </w:rPr>
        <w:t>с</w:t>
      </w:r>
      <w:r w:rsidRPr="009C5D97">
        <w:rPr>
          <w:rFonts w:ascii="Times New Roman" w:hAnsi="Times New Roman"/>
          <w:color w:val="000000"/>
          <w:sz w:val="24"/>
          <w:szCs w:val="24"/>
        </w:rPr>
        <w:t>мени</w:t>
      </w:r>
      <w:r>
        <w:rPr>
          <w:rFonts w:ascii="Times New Roman" w:hAnsi="Times New Roman"/>
          <w:color w:val="000000"/>
          <w:sz w:val="24"/>
          <w:szCs w:val="24"/>
        </w:rPr>
        <w:t>ле</w:t>
      </w:r>
      <w:r w:rsidRPr="009C5D97">
        <w:rPr>
          <w:rFonts w:ascii="Times New Roman" w:hAnsi="Times New Roman"/>
          <w:color w:val="000000"/>
          <w:sz w:val="24"/>
          <w:szCs w:val="24"/>
        </w:rPr>
        <w:t xml:space="preserve"> снабдувачот. Во 2020 година таа бројка се зголеми</w:t>
      </w:r>
      <w:r>
        <w:rPr>
          <w:rFonts w:ascii="Times New Roman" w:hAnsi="Times New Roman"/>
          <w:color w:val="000000"/>
          <w:sz w:val="24"/>
          <w:szCs w:val="24"/>
        </w:rPr>
        <w:t>ла</w:t>
      </w:r>
      <w:r w:rsidRPr="009C5D97">
        <w:rPr>
          <w:rFonts w:ascii="Times New Roman" w:hAnsi="Times New Roman"/>
          <w:color w:val="000000"/>
          <w:sz w:val="24"/>
          <w:szCs w:val="24"/>
        </w:rPr>
        <w:t xml:space="preserve"> за 10,8</w:t>
      </w:r>
      <w:r>
        <w:rPr>
          <w:rFonts w:ascii="Times New Roman" w:hAnsi="Times New Roman"/>
          <w:color w:val="000000"/>
          <w:sz w:val="24"/>
          <w:szCs w:val="24"/>
        </w:rPr>
        <w:t xml:space="preserve"> </w:t>
      </w:r>
      <w:r w:rsidRPr="009C5D97">
        <w:rPr>
          <w:rFonts w:ascii="Times New Roman" w:hAnsi="Times New Roman"/>
          <w:color w:val="000000"/>
          <w:sz w:val="24"/>
          <w:szCs w:val="24"/>
        </w:rPr>
        <w:t>% на</w:t>
      </w:r>
      <w:r w:rsidRPr="009C5D97">
        <w:rPr>
          <w:rFonts w:ascii="Times New Roman" w:hAnsi="Times New Roman"/>
          <w:sz w:val="24"/>
          <w:szCs w:val="24"/>
        </w:rPr>
        <w:t xml:space="preserve"> </w:t>
      </w:r>
      <w:r w:rsidRPr="009C5D97">
        <w:rPr>
          <w:rFonts w:ascii="Times New Roman" w:hAnsi="Times New Roman"/>
          <w:color w:val="000000"/>
          <w:sz w:val="24"/>
          <w:szCs w:val="24"/>
        </w:rPr>
        <w:t>2.603 потрошувачи, во 2021 година за уште 37,1</w:t>
      </w:r>
      <w:r>
        <w:rPr>
          <w:rFonts w:ascii="Times New Roman" w:hAnsi="Times New Roman"/>
          <w:color w:val="000000"/>
          <w:sz w:val="24"/>
          <w:szCs w:val="24"/>
        </w:rPr>
        <w:t xml:space="preserve"> </w:t>
      </w:r>
      <w:r w:rsidRPr="009C5D97">
        <w:rPr>
          <w:rFonts w:ascii="Times New Roman" w:hAnsi="Times New Roman"/>
          <w:color w:val="000000"/>
          <w:sz w:val="24"/>
          <w:szCs w:val="24"/>
        </w:rPr>
        <w:t>% на 3.568 потрошувачи и во 2022 година за 11,7</w:t>
      </w:r>
      <w:r>
        <w:rPr>
          <w:rFonts w:ascii="Times New Roman" w:hAnsi="Times New Roman"/>
          <w:color w:val="000000"/>
          <w:sz w:val="24"/>
          <w:szCs w:val="24"/>
        </w:rPr>
        <w:t xml:space="preserve"> </w:t>
      </w:r>
      <w:r w:rsidRPr="009C5D97">
        <w:rPr>
          <w:rFonts w:ascii="Times New Roman" w:hAnsi="Times New Roman"/>
          <w:color w:val="000000"/>
          <w:sz w:val="24"/>
          <w:szCs w:val="24"/>
        </w:rPr>
        <w:t>% на</w:t>
      </w:r>
      <w:r w:rsidRPr="009C5D97">
        <w:rPr>
          <w:rFonts w:ascii="Times New Roman" w:hAnsi="Times New Roman"/>
          <w:sz w:val="24"/>
          <w:szCs w:val="24"/>
        </w:rPr>
        <w:t xml:space="preserve"> </w:t>
      </w:r>
      <w:r w:rsidRPr="009C5D97">
        <w:rPr>
          <w:rFonts w:ascii="Times New Roman" w:hAnsi="Times New Roman"/>
          <w:color w:val="000000"/>
          <w:sz w:val="24"/>
          <w:szCs w:val="24"/>
        </w:rPr>
        <w:t>3.986 потрошувачи.</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i/>
          <w:iCs/>
          <w:color w:val="000000"/>
          <w:sz w:val="24"/>
          <w:szCs w:val="24"/>
        </w:rPr>
        <w:t xml:space="preserve">Приватизација и </w:t>
      </w:r>
      <w:r w:rsidR="00F433D8" w:rsidRPr="009C5D97">
        <w:rPr>
          <w:rFonts w:ascii="Times New Roman" w:hAnsi="Times New Roman"/>
          <w:i/>
          <w:iCs/>
          <w:color w:val="000000"/>
          <w:sz w:val="24"/>
          <w:szCs w:val="24"/>
        </w:rPr>
        <w:t>преструктуирање</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b/>
          <w:bCs/>
          <w:color w:val="000000"/>
          <w:sz w:val="24"/>
          <w:szCs w:val="24"/>
        </w:rPr>
        <w:t xml:space="preserve">Уделот на јавниот сектор во економијата останува низок. </w:t>
      </w:r>
      <w:r w:rsidRPr="009C5D97">
        <w:rPr>
          <w:rFonts w:ascii="Times New Roman" w:hAnsi="Times New Roman"/>
          <w:color w:val="000000"/>
          <w:sz w:val="24"/>
          <w:szCs w:val="24"/>
        </w:rPr>
        <w:t>Во 2022 година бројот на компании во целосна државна сопственост се намали</w:t>
      </w:r>
      <w:r>
        <w:rPr>
          <w:rFonts w:ascii="Times New Roman" w:hAnsi="Times New Roman"/>
          <w:color w:val="000000"/>
          <w:sz w:val="24"/>
          <w:szCs w:val="24"/>
        </w:rPr>
        <w:t>л</w:t>
      </w:r>
      <w:r w:rsidRPr="009C5D97">
        <w:rPr>
          <w:rFonts w:ascii="Times New Roman" w:hAnsi="Times New Roman"/>
          <w:color w:val="000000"/>
          <w:sz w:val="24"/>
          <w:szCs w:val="24"/>
        </w:rPr>
        <w:t xml:space="preserve"> за две</w:t>
      </w:r>
      <w:r w:rsidRPr="006E38FC">
        <w:rPr>
          <w:rFonts w:ascii="Times New Roman" w:hAnsi="Times New Roman"/>
          <w:color w:val="000000"/>
          <w:sz w:val="24"/>
          <w:szCs w:val="24"/>
        </w:rPr>
        <w:t>, на 15, во</w:t>
      </w:r>
      <w:r w:rsidRPr="009C5D97">
        <w:rPr>
          <w:rFonts w:ascii="Times New Roman" w:hAnsi="Times New Roman"/>
          <w:color w:val="000000"/>
          <w:sz w:val="24"/>
          <w:szCs w:val="24"/>
        </w:rPr>
        <w:t xml:space="preserve"> споредба со претходните години. Бројот </w:t>
      </w:r>
      <w:r>
        <w:rPr>
          <w:rFonts w:ascii="Times New Roman" w:hAnsi="Times New Roman"/>
          <w:color w:val="000000"/>
          <w:sz w:val="24"/>
          <w:szCs w:val="24"/>
        </w:rPr>
        <w:t xml:space="preserve">на </w:t>
      </w:r>
      <w:r w:rsidRPr="009C5D97">
        <w:rPr>
          <w:rFonts w:ascii="Times New Roman" w:hAnsi="Times New Roman"/>
          <w:color w:val="000000"/>
          <w:sz w:val="24"/>
          <w:szCs w:val="24"/>
        </w:rPr>
        <w:t>компании во делумна сопственост се намали</w:t>
      </w:r>
      <w:r>
        <w:rPr>
          <w:rFonts w:ascii="Times New Roman" w:hAnsi="Times New Roman"/>
          <w:color w:val="000000"/>
          <w:sz w:val="24"/>
          <w:szCs w:val="24"/>
        </w:rPr>
        <w:t>л</w:t>
      </w:r>
      <w:r w:rsidRPr="009C5D97">
        <w:rPr>
          <w:rFonts w:ascii="Times New Roman" w:hAnsi="Times New Roman"/>
          <w:color w:val="000000"/>
          <w:sz w:val="24"/>
          <w:szCs w:val="24"/>
        </w:rPr>
        <w:t xml:space="preserve"> за една, на 38, од кои повеќето со учество на државна</w:t>
      </w:r>
      <w:r w:rsidRPr="009C5D97">
        <w:rPr>
          <w:rFonts w:ascii="Times New Roman" w:hAnsi="Times New Roman"/>
          <w:color w:val="000000"/>
          <w:sz w:val="14"/>
          <w:szCs w:val="14"/>
        </w:rPr>
        <w:t xml:space="preserve"> </w:t>
      </w:r>
      <w:r w:rsidRPr="009C5D97">
        <w:rPr>
          <w:rFonts w:ascii="Times New Roman" w:hAnsi="Times New Roman"/>
          <w:color w:val="000000"/>
          <w:sz w:val="24"/>
          <w:szCs w:val="24"/>
        </w:rPr>
        <w:t>сопственост</w:t>
      </w:r>
      <w:r>
        <w:rPr>
          <w:rFonts w:ascii="Times New Roman" w:hAnsi="Times New Roman"/>
          <w:color w:val="000000"/>
          <w:sz w:val="24"/>
          <w:szCs w:val="24"/>
        </w:rPr>
        <w:t xml:space="preserve"> под</w:t>
      </w:r>
      <w:r w:rsidR="00AF05B3">
        <w:rPr>
          <w:rFonts w:ascii="Times New Roman" w:hAnsi="Times New Roman"/>
          <w:color w:val="000000"/>
          <w:sz w:val="14"/>
          <w:szCs w:val="14"/>
        </w:rPr>
        <w:t xml:space="preserve"> </w:t>
      </w:r>
      <w:r w:rsidRPr="009C5D97">
        <w:rPr>
          <w:rFonts w:ascii="Times New Roman" w:hAnsi="Times New Roman"/>
          <w:color w:val="000000"/>
          <w:sz w:val="24"/>
          <w:szCs w:val="24"/>
        </w:rPr>
        <w:t>1</w:t>
      </w:r>
      <w:r>
        <w:rPr>
          <w:rFonts w:ascii="Times New Roman" w:hAnsi="Times New Roman"/>
          <w:color w:val="000000"/>
          <w:sz w:val="24"/>
          <w:szCs w:val="24"/>
        </w:rPr>
        <w:t xml:space="preserve"> </w:t>
      </w:r>
      <w:r w:rsidRPr="009C5D97">
        <w:rPr>
          <w:rFonts w:ascii="Times New Roman" w:hAnsi="Times New Roman"/>
          <w:color w:val="000000"/>
          <w:sz w:val="24"/>
          <w:szCs w:val="24"/>
        </w:rPr>
        <w:t>%</w:t>
      </w:r>
      <w:r w:rsidRPr="009C5D97">
        <w:rPr>
          <w:rFonts w:ascii="Times New Roman" w:hAnsi="Times New Roman"/>
          <w:color w:val="000000"/>
          <w:sz w:val="14"/>
          <w:szCs w:val="14"/>
        </w:rPr>
        <w:t xml:space="preserve"> </w:t>
      </w:r>
      <w:r w:rsidRPr="009C5D97">
        <w:rPr>
          <w:rFonts w:ascii="Times New Roman" w:hAnsi="Times New Roman"/>
          <w:color w:val="000000"/>
          <w:sz w:val="24"/>
          <w:szCs w:val="24"/>
        </w:rPr>
        <w:t>од</w:t>
      </w:r>
      <w:r w:rsidRPr="009C5D97">
        <w:rPr>
          <w:rFonts w:ascii="Times New Roman" w:hAnsi="Times New Roman"/>
          <w:color w:val="000000"/>
          <w:sz w:val="14"/>
          <w:szCs w:val="14"/>
        </w:rPr>
        <w:t xml:space="preserve"> </w:t>
      </w:r>
      <w:r w:rsidRPr="009C5D97">
        <w:rPr>
          <w:rFonts w:ascii="Times New Roman" w:hAnsi="Times New Roman"/>
          <w:color w:val="000000"/>
          <w:sz w:val="24"/>
          <w:szCs w:val="24"/>
        </w:rPr>
        <w:t>издадениот</w:t>
      </w:r>
      <w:r w:rsidRPr="009C5D97">
        <w:rPr>
          <w:rFonts w:ascii="Times New Roman" w:hAnsi="Times New Roman"/>
          <w:color w:val="000000"/>
          <w:sz w:val="14"/>
          <w:szCs w:val="14"/>
        </w:rPr>
        <w:t xml:space="preserve"> </w:t>
      </w:r>
      <w:r w:rsidRPr="009C5D97">
        <w:rPr>
          <w:rFonts w:ascii="Times New Roman" w:hAnsi="Times New Roman"/>
          <w:color w:val="000000"/>
          <w:sz w:val="24"/>
          <w:szCs w:val="24"/>
        </w:rPr>
        <w:t>капитал</w:t>
      </w:r>
      <w:r w:rsidRPr="009C5D97">
        <w:rPr>
          <w:rFonts w:ascii="Times New Roman" w:hAnsi="Times New Roman"/>
          <w:color w:val="000000"/>
          <w:sz w:val="14"/>
          <w:szCs w:val="14"/>
          <w:vertAlign w:val="superscript"/>
        </w:rPr>
        <w:t xml:space="preserve"> </w:t>
      </w:r>
      <w:r w:rsidRPr="009C5D97">
        <w:rPr>
          <w:vertAlign w:val="superscript"/>
        </w:rPr>
        <w:footnoteReference w:id="14"/>
      </w:r>
      <w:r w:rsidRPr="009C5D97">
        <w:rPr>
          <w:rFonts w:ascii="Times New Roman" w:hAnsi="Times New Roman"/>
          <w:color w:val="000000"/>
          <w:sz w:val="14"/>
          <w:szCs w:val="14"/>
        </w:rPr>
        <w:t xml:space="preserve">. </w:t>
      </w:r>
      <w:r w:rsidRPr="009C5D97">
        <w:rPr>
          <w:rFonts w:ascii="Times New Roman" w:hAnsi="Times New Roman"/>
          <w:color w:val="000000"/>
          <w:sz w:val="24"/>
          <w:szCs w:val="24"/>
        </w:rPr>
        <w:t>Вкупната</w:t>
      </w:r>
      <w:r w:rsidRPr="009C5D97">
        <w:rPr>
          <w:rFonts w:ascii="Times New Roman" w:hAnsi="Times New Roman"/>
          <w:color w:val="000000"/>
          <w:sz w:val="14"/>
          <w:szCs w:val="14"/>
        </w:rPr>
        <w:t xml:space="preserve"> </w:t>
      </w:r>
      <w:r w:rsidRPr="009C5D97">
        <w:rPr>
          <w:rFonts w:ascii="Times New Roman" w:hAnsi="Times New Roman"/>
          <w:color w:val="000000"/>
          <w:sz w:val="24"/>
          <w:szCs w:val="24"/>
        </w:rPr>
        <w:t>вредност</w:t>
      </w:r>
      <w:r w:rsidRPr="009C5D97">
        <w:rPr>
          <w:rFonts w:ascii="Times New Roman" w:hAnsi="Times New Roman"/>
          <w:color w:val="000000"/>
          <w:sz w:val="14"/>
          <w:szCs w:val="14"/>
        </w:rPr>
        <w:t xml:space="preserve"> </w:t>
      </w:r>
      <w:r w:rsidRPr="009C5D97">
        <w:rPr>
          <w:rFonts w:ascii="Times New Roman" w:hAnsi="Times New Roman"/>
          <w:color w:val="000000"/>
          <w:sz w:val="24"/>
          <w:szCs w:val="24"/>
        </w:rPr>
        <w:t>на</w:t>
      </w:r>
      <w:r w:rsidRPr="009C5D97">
        <w:rPr>
          <w:rFonts w:ascii="Times New Roman" w:hAnsi="Times New Roman"/>
          <w:color w:val="000000"/>
          <w:sz w:val="14"/>
          <w:szCs w:val="14"/>
        </w:rPr>
        <w:t xml:space="preserve"> </w:t>
      </w:r>
      <w:r w:rsidRPr="009C5D97">
        <w:rPr>
          <w:rFonts w:ascii="Times New Roman" w:hAnsi="Times New Roman"/>
          <w:color w:val="000000"/>
          <w:sz w:val="24"/>
          <w:szCs w:val="24"/>
        </w:rPr>
        <w:t>државната</w:t>
      </w:r>
      <w:r w:rsidRPr="009C5D97">
        <w:rPr>
          <w:rFonts w:ascii="Times New Roman" w:hAnsi="Times New Roman"/>
          <w:color w:val="000000"/>
          <w:sz w:val="14"/>
          <w:szCs w:val="14"/>
        </w:rPr>
        <w:t xml:space="preserve"> </w:t>
      </w:r>
      <w:r w:rsidRPr="009C5D97">
        <w:rPr>
          <w:rFonts w:ascii="Times New Roman" w:hAnsi="Times New Roman"/>
          <w:color w:val="000000"/>
          <w:sz w:val="24"/>
          <w:szCs w:val="24"/>
        </w:rPr>
        <w:t>сопственост</w:t>
      </w:r>
      <w:r w:rsidRPr="009C5D97">
        <w:rPr>
          <w:rFonts w:ascii="Times New Roman" w:hAnsi="Times New Roman"/>
          <w:color w:val="000000"/>
          <w:sz w:val="14"/>
          <w:szCs w:val="14"/>
        </w:rPr>
        <w:t xml:space="preserve"> </w:t>
      </w:r>
      <w:r w:rsidRPr="009C5D97">
        <w:rPr>
          <w:rFonts w:ascii="Times New Roman" w:hAnsi="Times New Roman"/>
          <w:color w:val="000000"/>
          <w:sz w:val="24"/>
          <w:szCs w:val="24"/>
        </w:rPr>
        <w:t>во</w:t>
      </w:r>
      <w:r w:rsidRPr="009C5D97">
        <w:rPr>
          <w:rFonts w:ascii="Times New Roman" w:hAnsi="Times New Roman"/>
          <w:color w:val="000000"/>
          <w:sz w:val="14"/>
          <w:szCs w:val="14"/>
        </w:rPr>
        <w:t xml:space="preserve"> </w:t>
      </w:r>
      <w:r w:rsidRPr="009C5D97">
        <w:rPr>
          <w:rFonts w:ascii="Times New Roman" w:hAnsi="Times New Roman"/>
          <w:color w:val="000000"/>
          <w:sz w:val="24"/>
          <w:szCs w:val="24"/>
        </w:rPr>
        <w:t xml:space="preserve">претпријатијата </w:t>
      </w:r>
      <w:r>
        <w:rPr>
          <w:rFonts w:ascii="Times New Roman" w:hAnsi="Times New Roman"/>
          <w:color w:val="000000"/>
          <w:sz w:val="24"/>
          <w:szCs w:val="24"/>
        </w:rPr>
        <w:t xml:space="preserve">не била </w:t>
      </w:r>
      <w:r w:rsidRPr="009C5D97">
        <w:rPr>
          <w:rFonts w:ascii="Times New Roman" w:hAnsi="Times New Roman"/>
          <w:color w:val="000000"/>
          <w:sz w:val="24"/>
          <w:szCs w:val="24"/>
        </w:rPr>
        <w:t>променета, на околу 10</w:t>
      </w:r>
      <w:r>
        <w:rPr>
          <w:rFonts w:ascii="Times New Roman" w:hAnsi="Times New Roman"/>
          <w:color w:val="000000"/>
          <w:sz w:val="24"/>
          <w:szCs w:val="24"/>
        </w:rPr>
        <w:t xml:space="preserve"> </w:t>
      </w:r>
      <w:r w:rsidRPr="009C5D97">
        <w:rPr>
          <w:rFonts w:ascii="Times New Roman" w:hAnsi="Times New Roman"/>
          <w:color w:val="000000"/>
          <w:sz w:val="24"/>
          <w:szCs w:val="24"/>
        </w:rPr>
        <w:t>% од БДП. Во моментов нема планови за натамошни приватизации.</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color w:val="000000"/>
          <w:sz w:val="24"/>
          <w:szCs w:val="24"/>
          <w:u w:val="single"/>
        </w:rPr>
        <w:t>Функционирање на финансискиот пазар</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i/>
          <w:iCs/>
          <w:color w:val="000000"/>
          <w:sz w:val="24"/>
          <w:szCs w:val="24"/>
        </w:rPr>
        <w:t>Финансиска стабилност</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b/>
          <w:bCs/>
          <w:color w:val="000000"/>
          <w:sz w:val="24"/>
          <w:szCs w:val="24"/>
        </w:rPr>
        <w:t>Капитализацијата и профитабилноста на ба</w:t>
      </w:r>
      <w:r>
        <w:rPr>
          <w:rFonts w:ascii="Times New Roman" w:hAnsi="Times New Roman"/>
          <w:b/>
          <w:bCs/>
          <w:color w:val="000000"/>
          <w:sz w:val="24"/>
          <w:szCs w:val="24"/>
        </w:rPr>
        <w:t>н</w:t>
      </w:r>
      <w:r w:rsidRPr="009C5D97">
        <w:rPr>
          <w:rFonts w:ascii="Times New Roman" w:hAnsi="Times New Roman"/>
          <w:b/>
          <w:bCs/>
          <w:color w:val="000000"/>
          <w:sz w:val="24"/>
          <w:szCs w:val="24"/>
        </w:rPr>
        <w:t xml:space="preserve">ките се подобри од пандемијата. </w:t>
      </w:r>
      <w:r w:rsidRPr="009C5D97">
        <w:rPr>
          <w:rFonts w:ascii="Times New Roman" w:hAnsi="Times New Roman"/>
          <w:color w:val="000000"/>
          <w:sz w:val="24"/>
          <w:szCs w:val="24"/>
        </w:rPr>
        <w:t>Банкарскиот сектор остана отпорен во текот на неодамнешните кризи. Стапката на адекватност на капиталот на ба</w:t>
      </w:r>
      <w:r>
        <w:rPr>
          <w:rFonts w:ascii="Times New Roman" w:hAnsi="Times New Roman"/>
          <w:color w:val="000000"/>
          <w:sz w:val="24"/>
          <w:szCs w:val="24"/>
        </w:rPr>
        <w:t>н</w:t>
      </w:r>
      <w:r w:rsidRPr="009C5D97">
        <w:rPr>
          <w:rFonts w:ascii="Times New Roman" w:hAnsi="Times New Roman"/>
          <w:color w:val="000000"/>
          <w:sz w:val="24"/>
          <w:szCs w:val="24"/>
        </w:rPr>
        <w:t xml:space="preserve">ките </w:t>
      </w:r>
      <w:r>
        <w:rPr>
          <w:rFonts w:ascii="Times New Roman" w:hAnsi="Times New Roman"/>
          <w:color w:val="000000"/>
          <w:sz w:val="24"/>
          <w:szCs w:val="24"/>
        </w:rPr>
        <w:t>дополнително</w:t>
      </w:r>
      <w:r w:rsidRPr="009C5D97">
        <w:rPr>
          <w:rFonts w:ascii="Times New Roman" w:hAnsi="Times New Roman"/>
          <w:color w:val="000000"/>
          <w:sz w:val="24"/>
          <w:szCs w:val="24"/>
        </w:rPr>
        <w:t xml:space="preserve"> се зголеми</w:t>
      </w:r>
      <w:r>
        <w:rPr>
          <w:rFonts w:ascii="Times New Roman" w:hAnsi="Times New Roman"/>
          <w:color w:val="000000"/>
          <w:sz w:val="24"/>
          <w:szCs w:val="24"/>
        </w:rPr>
        <w:t>ла</w:t>
      </w:r>
      <w:r w:rsidRPr="009C5D97">
        <w:rPr>
          <w:rFonts w:ascii="Times New Roman" w:hAnsi="Times New Roman"/>
          <w:color w:val="000000"/>
          <w:sz w:val="24"/>
          <w:szCs w:val="24"/>
        </w:rPr>
        <w:t xml:space="preserve"> во 2022 година и во декември 2022 година </w:t>
      </w:r>
      <w:r>
        <w:rPr>
          <w:rFonts w:ascii="Times New Roman" w:hAnsi="Times New Roman"/>
          <w:color w:val="000000"/>
          <w:sz w:val="24"/>
          <w:szCs w:val="24"/>
        </w:rPr>
        <w:t>била</w:t>
      </w:r>
      <w:r w:rsidRPr="009C5D97">
        <w:rPr>
          <w:rFonts w:ascii="Times New Roman" w:hAnsi="Times New Roman"/>
          <w:color w:val="000000"/>
          <w:sz w:val="24"/>
          <w:szCs w:val="24"/>
        </w:rPr>
        <w:t xml:space="preserve"> доста над нејзиното ниво од пред пет години, далеку </w:t>
      </w:r>
      <w:r>
        <w:rPr>
          <w:rFonts w:ascii="Times New Roman" w:hAnsi="Times New Roman"/>
          <w:color w:val="000000"/>
          <w:sz w:val="24"/>
          <w:szCs w:val="24"/>
        </w:rPr>
        <w:t>над</w:t>
      </w:r>
      <w:r w:rsidRPr="009C5D97">
        <w:rPr>
          <w:rFonts w:ascii="Times New Roman" w:hAnsi="Times New Roman"/>
          <w:color w:val="000000"/>
          <w:sz w:val="24"/>
          <w:szCs w:val="24"/>
        </w:rPr>
        <w:t xml:space="preserve"> регулаторниот минимум. Ликвидните средства сочинува</w:t>
      </w:r>
      <w:r>
        <w:rPr>
          <w:rFonts w:ascii="Times New Roman" w:hAnsi="Times New Roman"/>
          <w:color w:val="000000"/>
          <w:sz w:val="24"/>
          <w:szCs w:val="24"/>
        </w:rPr>
        <w:t>ле</w:t>
      </w:r>
      <w:r w:rsidRPr="009C5D97">
        <w:rPr>
          <w:rFonts w:ascii="Times New Roman" w:hAnsi="Times New Roman"/>
          <w:color w:val="000000"/>
          <w:sz w:val="24"/>
          <w:szCs w:val="24"/>
        </w:rPr>
        <w:t xml:space="preserve"> </w:t>
      </w:r>
      <w:r>
        <w:rPr>
          <w:rFonts w:ascii="Times New Roman" w:hAnsi="Times New Roman"/>
          <w:color w:val="000000"/>
          <w:sz w:val="24"/>
          <w:szCs w:val="24"/>
        </w:rPr>
        <w:t>повеќе од</w:t>
      </w:r>
      <w:r w:rsidRPr="009C5D97">
        <w:rPr>
          <w:rFonts w:ascii="Times New Roman" w:hAnsi="Times New Roman"/>
          <w:color w:val="000000"/>
          <w:sz w:val="24"/>
          <w:szCs w:val="24"/>
        </w:rPr>
        <w:t xml:space="preserve"> една третина од вкупните средства на крајот од 2022 година и покрива</w:t>
      </w:r>
      <w:r>
        <w:rPr>
          <w:rFonts w:ascii="Times New Roman" w:hAnsi="Times New Roman"/>
          <w:color w:val="000000"/>
          <w:sz w:val="24"/>
          <w:szCs w:val="24"/>
        </w:rPr>
        <w:t>ле</w:t>
      </w:r>
      <w:r w:rsidRPr="009C5D97">
        <w:rPr>
          <w:rFonts w:ascii="Times New Roman" w:hAnsi="Times New Roman"/>
          <w:color w:val="000000"/>
          <w:sz w:val="24"/>
          <w:szCs w:val="24"/>
        </w:rPr>
        <w:t xml:space="preserve"> повеќе од половина од краткорочните обврски. </w:t>
      </w:r>
      <w:r>
        <w:rPr>
          <w:rFonts w:ascii="Times New Roman" w:hAnsi="Times New Roman"/>
          <w:color w:val="000000"/>
          <w:sz w:val="24"/>
          <w:szCs w:val="24"/>
        </w:rPr>
        <w:t>П</w:t>
      </w:r>
      <w:r w:rsidRPr="00B926B5">
        <w:rPr>
          <w:rFonts w:ascii="Times New Roman" w:hAnsi="Times New Roman"/>
          <w:color w:val="000000"/>
          <w:sz w:val="24"/>
          <w:szCs w:val="24"/>
        </w:rPr>
        <w:t xml:space="preserve">риносот на капиталот беше </w:t>
      </w:r>
      <w:r>
        <w:rPr>
          <w:rFonts w:ascii="Times New Roman" w:hAnsi="Times New Roman"/>
          <w:color w:val="000000"/>
          <w:sz w:val="24"/>
          <w:szCs w:val="24"/>
        </w:rPr>
        <w:t xml:space="preserve">12,2% што е </w:t>
      </w:r>
      <w:r w:rsidRPr="00B926B5">
        <w:rPr>
          <w:rFonts w:ascii="Times New Roman" w:hAnsi="Times New Roman"/>
          <w:color w:val="000000"/>
          <w:sz w:val="24"/>
          <w:szCs w:val="24"/>
        </w:rPr>
        <w:t>над ниво</w:t>
      </w:r>
      <w:r>
        <w:rPr>
          <w:rFonts w:ascii="Times New Roman" w:hAnsi="Times New Roman"/>
          <w:color w:val="000000"/>
          <w:sz w:val="24"/>
          <w:szCs w:val="24"/>
        </w:rPr>
        <w:t>то</w:t>
      </w:r>
      <w:r w:rsidRPr="00B926B5">
        <w:rPr>
          <w:rFonts w:ascii="Times New Roman" w:hAnsi="Times New Roman"/>
          <w:color w:val="000000"/>
          <w:sz w:val="24"/>
          <w:szCs w:val="24"/>
        </w:rPr>
        <w:t xml:space="preserve"> пред пандемијата, на крајот од 2019 година</w:t>
      </w:r>
      <w:r w:rsidRPr="009C5D97">
        <w:rPr>
          <w:rFonts w:ascii="Times New Roman" w:hAnsi="Times New Roman"/>
          <w:color w:val="000000"/>
          <w:sz w:val="24"/>
          <w:szCs w:val="24"/>
        </w:rPr>
        <w:t xml:space="preserve"> (11,7</w:t>
      </w:r>
      <w:r>
        <w:rPr>
          <w:rFonts w:ascii="Times New Roman" w:hAnsi="Times New Roman"/>
          <w:color w:val="000000"/>
          <w:sz w:val="24"/>
          <w:szCs w:val="24"/>
        </w:rPr>
        <w:t xml:space="preserve"> </w:t>
      </w:r>
      <w:r w:rsidRPr="009C5D97">
        <w:rPr>
          <w:rFonts w:ascii="Times New Roman" w:hAnsi="Times New Roman"/>
          <w:color w:val="000000"/>
          <w:sz w:val="24"/>
          <w:szCs w:val="24"/>
        </w:rPr>
        <w:t>%). Соодносот на кредитите и нефинансискиот сектор што беа нефункционални стабилно се намалува</w:t>
      </w:r>
      <w:r>
        <w:rPr>
          <w:rFonts w:ascii="Times New Roman" w:hAnsi="Times New Roman"/>
          <w:color w:val="000000"/>
          <w:sz w:val="24"/>
          <w:szCs w:val="24"/>
        </w:rPr>
        <w:t>л</w:t>
      </w:r>
      <w:r w:rsidRPr="009C5D97">
        <w:rPr>
          <w:rFonts w:ascii="Times New Roman" w:hAnsi="Times New Roman"/>
          <w:color w:val="000000"/>
          <w:sz w:val="24"/>
          <w:szCs w:val="24"/>
        </w:rPr>
        <w:t xml:space="preserve"> од крајот на 2013 година, достигнувајќи рекордно најниско ниво од 2,8</w:t>
      </w:r>
      <w:r>
        <w:rPr>
          <w:rFonts w:ascii="Times New Roman" w:hAnsi="Times New Roman"/>
          <w:color w:val="000000"/>
          <w:sz w:val="24"/>
          <w:szCs w:val="24"/>
        </w:rPr>
        <w:t xml:space="preserve"> </w:t>
      </w:r>
      <w:r w:rsidRPr="009C5D97">
        <w:rPr>
          <w:rFonts w:ascii="Times New Roman" w:hAnsi="Times New Roman"/>
          <w:color w:val="000000"/>
          <w:sz w:val="24"/>
          <w:szCs w:val="24"/>
        </w:rPr>
        <w:t>% на крајот од 2022 година (-0,2 пп годишно). Сепак, финансиската диверзификација напредува</w:t>
      </w:r>
      <w:r>
        <w:rPr>
          <w:rFonts w:ascii="Times New Roman" w:hAnsi="Times New Roman"/>
          <w:color w:val="000000"/>
          <w:sz w:val="24"/>
          <w:szCs w:val="24"/>
        </w:rPr>
        <w:t>ла</w:t>
      </w:r>
      <w:r w:rsidRPr="009C5D97">
        <w:rPr>
          <w:rFonts w:ascii="Times New Roman" w:hAnsi="Times New Roman"/>
          <w:color w:val="000000"/>
          <w:sz w:val="24"/>
          <w:szCs w:val="24"/>
        </w:rPr>
        <w:t xml:space="preserve"> бавно, при што на крајот </w:t>
      </w:r>
      <w:r>
        <w:rPr>
          <w:rFonts w:ascii="Times New Roman" w:hAnsi="Times New Roman"/>
          <w:color w:val="000000"/>
          <w:sz w:val="24"/>
          <w:szCs w:val="24"/>
        </w:rPr>
        <w:t>на</w:t>
      </w:r>
      <w:r w:rsidRPr="009C5D97">
        <w:rPr>
          <w:rFonts w:ascii="Times New Roman" w:hAnsi="Times New Roman"/>
          <w:color w:val="000000"/>
          <w:sz w:val="24"/>
          <w:szCs w:val="24"/>
        </w:rPr>
        <w:t xml:space="preserve"> 2021 година банките сѐ уште сочинува</w:t>
      </w:r>
      <w:r>
        <w:rPr>
          <w:rFonts w:ascii="Times New Roman" w:hAnsi="Times New Roman"/>
          <w:color w:val="000000"/>
          <w:sz w:val="24"/>
          <w:szCs w:val="24"/>
        </w:rPr>
        <w:t>ле</w:t>
      </w:r>
      <w:r w:rsidRPr="009C5D97">
        <w:rPr>
          <w:rFonts w:ascii="Times New Roman" w:hAnsi="Times New Roman"/>
          <w:color w:val="000000"/>
          <w:sz w:val="24"/>
          <w:szCs w:val="24"/>
        </w:rPr>
        <w:t xml:space="preserve"> околу 79,1</w:t>
      </w:r>
      <w:r>
        <w:rPr>
          <w:rFonts w:ascii="Times New Roman" w:hAnsi="Times New Roman"/>
          <w:color w:val="000000"/>
          <w:sz w:val="24"/>
          <w:szCs w:val="24"/>
        </w:rPr>
        <w:t xml:space="preserve"> </w:t>
      </w:r>
      <w:r w:rsidRPr="009C5D97">
        <w:rPr>
          <w:rFonts w:ascii="Times New Roman" w:hAnsi="Times New Roman"/>
          <w:color w:val="000000"/>
          <w:sz w:val="24"/>
          <w:szCs w:val="24"/>
        </w:rPr>
        <w:t>% од средствата на финансискиот сектор, само малку пониск</w:t>
      </w:r>
      <w:r>
        <w:rPr>
          <w:rFonts w:ascii="Times New Roman" w:hAnsi="Times New Roman"/>
          <w:color w:val="000000"/>
          <w:sz w:val="24"/>
          <w:szCs w:val="24"/>
        </w:rPr>
        <w:t>о</w:t>
      </w:r>
      <w:r w:rsidRPr="009C5D97">
        <w:rPr>
          <w:rFonts w:ascii="Times New Roman" w:hAnsi="Times New Roman"/>
          <w:color w:val="000000"/>
          <w:sz w:val="24"/>
          <w:szCs w:val="24"/>
        </w:rPr>
        <w:t xml:space="preserve"> од бројката на крајот </w:t>
      </w:r>
      <w:r>
        <w:rPr>
          <w:rFonts w:ascii="Times New Roman" w:hAnsi="Times New Roman"/>
          <w:color w:val="000000"/>
          <w:sz w:val="24"/>
          <w:szCs w:val="24"/>
        </w:rPr>
        <w:t>на</w:t>
      </w:r>
      <w:r w:rsidRPr="009C5D97">
        <w:rPr>
          <w:rFonts w:ascii="Times New Roman" w:hAnsi="Times New Roman"/>
          <w:color w:val="000000"/>
          <w:sz w:val="24"/>
          <w:szCs w:val="24"/>
        </w:rPr>
        <w:t xml:space="preserve"> 2016 година (84,7</w:t>
      </w:r>
      <w:r>
        <w:rPr>
          <w:rFonts w:ascii="Times New Roman" w:hAnsi="Times New Roman"/>
          <w:color w:val="000000"/>
          <w:sz w:val="24"/>
          <w:szCs w:val="24"/>
        </w:rPr>
        <w:t xml:space="preserve"> </w:t>
      </w:r>
      <w:r w:rsidRPr="009C5D97">
        <w:rPr>
          <w:rFonts w:ascii="Times New Roman" w:hAnsi="Times New Roman"/>
          <w:color w:val="000000"/>
          <w:sz w:val="24"/>
          <w:szCs w:val="24"/>
        </w:rPr>
        <w:t xml:space="preserve">%). Учеството на странскиот капитал во вкупниот капитал на банките постојано </w:t>
      </w:r>
      <w:r>
        <w:rPr>
          <w:rFonts w:ascii="Times New Roman" w:hAnsi="Times New Roman"/>
          <w:color w:val="000000"/>
          <w:sz w:val="24"/>
          <w:szCs w:val="24"/>
        </w:rPr>
        <w:t xml:space="preserve">е </w:t>
      </w:r>
      <w:r w:rsidRPr="009C5D97">
        <w:rPr>
          <w:rFonts w:ascii="Times New Roman" w:hAnsi="Times New Roman"/>
          <w:color w:val="000000"/>
          <w:sz w:val="24"/>
          <w:szCs w:val="24"/>
        </w:rPr>
        <w:t>високо во последните пет години, на околу</w:t>
      </w:r>
      <w:r w:rsidRPr="009C5D97">
        <w:rPr>
          <w:rFonts w:ascii="Times New Roman" w:hAnsi="Times New Roman"/>
          <w:sz w:val="24"/>
          <w:szCs w:val="24"/>
        </w:rPr>
        <w:t xml:space="preserve"> </w:t>
      </w:r>
      <w:r w:rsidRPr="009C5D97">
        <w:rPr>
          <w:rFonts w:ascii="Times New Roman" w:hAnsi="Times New Roman"/>
          <w:color w:val="000000"/>
          <w:sz w:val="24"/>
          <w:szCs w:val="24"/>
        </w:rPr>
        <w:t>75</w:t>
      </w:r>
      <w:r>
        <w:rPr>
          <w:rFonts w:ascii="Times New Roman" w:hAnsi="Times New Roman"/>
          <w:color w:val="000000"/>
          <w:sz w:val="24"/>
          <w:szCs w:val="24"/>
        </w:rPr>
        <w:t xml:space="preserve"> </w:t>
      </w:r>
      <w:r w:rsidRPr="009C5D97">
        <w:rPr>
          <w:rFonts w:ascii="Times New Roman" w:hAnsi="Times New Roman"/>
          <w:color w:val="000000"/>
          <w:sz w:val="24"/>
          <w:szCs w:val="24"/>
        </w:rPr>
        <w:t>%.</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b/>
          <w:bCs/>
          <w:color w:val="000000"/>
          <w:sz w:val="24"/>
          <w:szCs w:val="24"/>
        </w:rPr>
        <w:t xml:space="preserve">Правната и институционалната рамка за осигурување фискална стабилност се зајакнати. </w:t>
      </w:r>
      <w:r w:rsidRPr="009C5D97">
        <w:rPr>
          <w:rFonts w:ascii="Times New Roman" w:hAnsi="Times New Roman"/>
          <w:color w:val="000000"/>
          <w:sz w:val="24"/>
          <w:szCs w:val="24"/>
        </w:rPr>
        <w:t xml:space="preserve">Во јули 2022 година </w:t>
      </w:r>
      <w:r>
        <w:rPr>
          <w:rFonts w:ascii="Times New Roman" w:hAnsi="Times New Roman"/>
          <w:color w:val="000000"/>
          <w:sz w:val="24"/>
          <w:szCs w:val="24"/>
        </w:rPr>
        <w:t xml:space="preserve">е </w:t>
      </w:r>
      <w:r w:rsidRPr="009C5D97">
        <w:rPr>
          <w:rFonts w:ascii="Times New Roman" w:hAnsi="Times New Roman"/>
          <w:color w:val="000000"/>
          <w:sz w:val="24"/>
          <w:szCs w:val="24"/>
        </w:rPr>
        <w:t xml:space="preserve">донесен новиот Закон за финансиска стабилност што на релевантните органи во финансискиот сектор им дава законски мандат да развијат и спроведат макропрудентни мерки за да се одржи финансиската стабилност на финансискиот систем. Со законот </w:t>
      </w:r>
      <w:r>
        <w:rPr>
          <w:rFonts w:ascii="Times New Roman" w:hAnsi="Times New Roman"/>
          <w:color w:val="000000"/>
          <w:sz w:val="24"/>
          <w:szCs w:val="24"/>
        </w:rPr>
        <w:t>е</w:t>
      </w:r>
      <w:r w:rsidRPr="009C5D97">
        <w:rPr>
          <w:rFonts w:ascii="Times New Roman" w:hAnsi="Times New Roman"/>
          <w:color w:val="000000"/>
          <w:sz w:val="24"/>
          <w:szCs w:val="24"/>
        </w:rPr>
        <w:t xml:space="preserve"> воспостав</w:t>
      </w:r>
      <w:r>
        <w:rPr>
          <w:rFonts w:ascii="Times New Roman" w:hAnsi="Times New Roman"/>
          <w:color w:val="000000"/>
          <w:sz w:val="24"/>
          <w:szCs w:val="24"/>
        </w:rPr>
        <w:t>ен</w:t>
      </w:r>
      <w:r w:rsidRPr="009C5D97">
        <w:rPr>
          <w:rFonts w:ascii="Times New Roman" w:hAnsi="Times New Roman"/>
          <w:color w:val="000000"/>
          <w:sz w:val="24"/>
          <w:szCs w:val="24"/>
        </w:rPr>
        <w:t xml:space="preserve"> Советот за финансиска стабилност што првата средба ја одржа во ноември 2022 година и на крајот на март 2023 година до Собранието го достави првиот годишен извештај за финансиска стабилност. Во февруари 2023 година Советот на Народната банка донесе нова одлука за методологија за управување со кредитниот ризик</w:t>
      </w:r>
      <w:r>
        <w:rPr>
          <w:rFonts w:ascii="Times New Roman" w:hAnsi="Times New Roman"/>
          <w:color w:val="000000"/>
          <w:sz w:val="24"/>
          <w:szCs w:val="24"/>
        </w:rPr>
        <w:t>,</w:t>
      </w:r>
      <w:r w:rsidRPr="009C5D97">
        <w:rPr>
          <w:rFonts w:ascii="Times New Roman" w:hAnsi="Times New Roman"/>
          <w:color w:val="000000"/>
          <w:sz w:val="24"/>
          <w:szCs w:val="24"/>
        </w:rPr>
        <w:t xml:space="preserve"> со цел да се зајакне управувањето со нефункционалните кредити и преструктурираните заеми што треба да </w:t>
      </w:r>
      <w:r>
        <w:rPr>
          <w:rFonts w:ascii="Times New Roman" w:hAnsi="Times New Roman"/>
          <w:color w:val="000000"/>
          <w:sz w:val="24"/>
          <w:szCs w:val="24"/>
        </w:rPr>
        <w:t>стапи на</w:t>
      </w:r>
      <w:r w:rsidRPr="009C5D97">
        <w:rPr>
          <w:rFonts w:ascii="Times New Roman" w:hAnsi="Times New Roman"/>
          <w:color w:val="000000"/>
          <w:sz w:val="24"/>
          <w:szCs w:val="24"/>
        </w:rPr>
        <w:t xml:space="preserve"> сила на 1 јануари 2024 година. Во август 2023 година </w:t>
      </w:r>
      <w:r>
        <w:rPr>
          <w:rFonts w:ascii="Times New Roman" w:hAnsi="Times New Roman"/>
          <w:color w:val="000000"/>
          <w:sz w:val="24"/>
          <w:szCs w:val="24"/>
        </w:rPr>
        <w:t>стапи на</w:t>
      </w:r>
      <w:r w:rsidRPr="009C5D97">
        <w:rPr>
          <w:rFonts w:ascii="Times New Roman" w:hAnsi="Times New Roman"/>
          <w:color w:val="000000"/>
          <w:sz w:val="24"/>
          <w:szCs w:val="24"/>
        </w:rPr>
        <w:t xml:space="preserve"> сила одлуката на Народната банка да го зголеми противцикличниот капитал на 0,5</w:t>
      </w:r>
      <w:r>
        <w:rPr>
          <w:rFonts w:ascii="Times New Roman" w:hAnsi="Times New Roman"/>
          <w:color w:val="000000"/>
          <w:sz w:val="24"/>
          <w:szCs w:val="24"/>
        </w:rPr>
        <w:t xml:space="preserve"> </w:t>
      </w:r>
      <w:r w:rsidRPr="009C5D97">
        <w:rPr>
          <w:rFonts w:ascii="Times New Roman" w:hAnsi="Times New Roman"/>
          <w:color w:val="000000"/>
          <w:sz w:val="24"/>
          <w:szCs w:val="24"/>
        </w:rPr>
        <w:t>% донесена во јули 2022 година. Народната банка веќе закажа зголемување на противцикличниот капитал на 0,75</w:t>
      </w:r>
      <w:r>
        <w:rPr>
          <w:rFonts w:ascii="Times New Roman" w:hAnsi="Times New Roman"/>
          <w:color w:val="000000"/>
          <w:sz w:val="24"/>
          <w:szCs w:val="24"/>
        </w:rPr>
        <w:t xml:space="preserve"> </w:t>
      </w:r>
      <w:r w:rsidRPr="009C5D97">
        <w:rPr>
          <w:rFonts w:ascii="Times New Roman" w:hAnsi="Times New Roman"/>
          <w:color w:val="000000"/>
          <w:sz w:val="24"/>
          <w:szCs w:val="24"/>
        </w:rPr>
        <w:t>% до 2024К2 и на 1</w:t>
      </w:r>
      <w:r>
        <w:rPr>
          <w:rFonts w:ascii="Times New Roman" w:hAnsi="Times New Roman"/>
          <w:color w:val="000000"/>
          <w:sz w:val="24"/>
          <w:szCs w:val="24"/>
        </w:rPr>
        <w:t xml:space="preserve"> </w:t>
      </w:r>
      <w:r w:rsidRPr="009C5D97">
        <w:rPr>
          <w:rFonts w:ascii="Times New Roman" w:hAnsi="Times New Roman"/>
          <w:color w:val="000000"/>
          <w:sz w:val="24"/>
          <w:szCs w:val="24"/>
        </w:rPr>
        <w:t>% до 2024К4. Сепак, клучното законодавство вклучително и Законот за банкарска резолуција и Законот за осигурување депозити сѐ уште не се донесени од Собранието.</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i/>
          <w:iCs/>
          <w:color w:val="000000"/>
          <w:sz w:val="24"/>
          <w:szCs w:val="24"/>
        </w:rPr>
        <w:t>Пристап до финансии</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b/>
          <w:bCs/>
          <w:color w:val="000000"/>
          <w:sz w:val="24"/>
          <w:szCs w:val="24"/>
        </w:rPr>
        <w:t xml:space="preserve">Растот на кредитирањето во приватниот сектор се забави, а растот на депозитите </w:t>
      </w:r>
      <w:r>
        <w:rPr>
          <w:rFonts w:ascii="Times New Roman" w:hAnsi="Times New Roman"/>
          <w:b/>
          <w:bCs/>
          <w:color w:val="000000"/>
          <w:sz w:val="24"/>
          <w:szCs w:val="24"/>
        </w:rPr>
        <w:t>сè уште е</w:t>
      </w:r>
      <w:r w:rsidRPr="00B926B5">
        <w:rPr>
          <w:rFonts w:ascii="Times New Roman" w:hAnsi="Times New Roman"/>
          <w:b/>
          <w:bCs/>
          <w:color w:val="000000"/>
          <w:sz w:val="24"/>
          <w:szCs w:val="24"/>
        </w:rPr>
        <w:t xml:space="preserve"> силен</w:t>
      </w:r>
      <w:r w:rsidRPr="009C5D97">
        <w:rPr>
          <w:rFonts w:ascii="Times New Roman" w:hAnsi="Times New Roman"/>
          <w:b/>
          <w:bCs/>
          <w:color w:val="000000"/>
          <w:sz w:val="24"/>
          <w:szCs w:val="24"/>
        </w:rPr>
        <w:t xml:space="preserve">. </w:t>
      </w:r>
      <w:r w:rsidRPr="009C5D97">
        <w:rPr>
          <w:rFonts w:ascii="Times New Roman" w:hAnsi="Times New Roman"/>
          <w:color w:val="000000"/>
          <w:sz w:val="24"/>
          <w:szCs w:val="24"/>
        </w:rPr>
        <w:t>Годишниот раст на кредитирањето на домаќинствата и на нефинансиските компании</w:t>
      </w:r>
      <w:r>
        <w:rPr>
          <w:rFonts w:ascii="Times New Roman" w:hAnsi="Times New Roman"/>
          <w:color w:val="000000"/>
          <w:sz w:val="24"/>
          <w:szCs w:val="24"/>
        </w:rPr>
        <w:t>,</w:t>
      </w:r>
      <w:r w:rsidRPr="009C5D97">
        <w:rPr>
          <w:rFonts w:ascii="Times New Roman" w:hAnsi="Times New Roman"/>
          <w:color w:val="000000"/>
          <w:sz w:val="24"/>
          <w:szCs w:val="24"/>
        </w:rPr>
        <w:t xml:space="preserve"> исто така</w:t>
      </w:r>
      <w:r>
        <w:rPr>
          <w:rFonts w:ascii="Times New Roman" w:hAnsi="Times New Roman"/>
          <w:color w:val="000000"/>
          <w:sz w:val="24"/>
          <w:szCs w:val="24"/>
        </w:rPr>
        <w:t>,</w:t>
      </w:r>
      <w:r w:rsidRPr="009C5D97">
        <w:rPr>
          <w:rFonts w:ascii="Times New Roman" w:hAnsi="Times New Roman"/>
          <w:color w:val="000000"/>
          <w:sz w:val="24"/>
          <w:szCs w:val="24"/>
        </w:rPr>
        <w:t xml:space="preserve"> забавува од есента 2022 година</w:t>
      </w:r>
      <w:r>
        <w:rPr>
          <w:rFonts w:ascii="Times New Roman" w:hAnsi="Times New Roman"/>
          <w:color w:val="000000"/>
          <w:sz w:val="24"/>
          <w:szCs w:val="24"/>
        </w:rPr>
        <w:t>,</w:t>
      </w:r>
      <w:r w:rsidRPr="009C5D97">
        <w:rPr>
          <w:rFonts w:ascii="Times New Roman" w:hAnsi="Times New Roman"/>
          <w:color w:val="000000"/>
          <w:sz w:val="24"/>
          <w:szCs w:val="24"/>
        </w:rPr>
        <w:t xml:space="preserve"> со тоа што особено е погодено корпоративното кредитирање. </w:t>
      </w:r>
      <w:r w:rsidRPr="00A7058B">
        <w:rPr>
          <w:rFonts w:ascii="Times New Roman" w:hAnsi="Times New Roman"/>
          <w:color w:val="000000"/>
          <w:sz w:val="24"/>
          <w:szCs w:val="24"/>
        </w:rPr>
        <w:t>Зајмувањето на нефинансиски корпорации се забави главно на сметка на отплатите на</w:t>
      </w:r>
      <w:r w:rsidRPr="009C5D97">
        <w:rPr>
          <w:rFonts w:ascii="Times New Roman" w:hAnsi="Times New Roman"/>
          <w:color w:val="000000"/>
          <w:sz w:val="24"/>
          <w:szCs w:val="24"/>
        </w:rPr>
        <w:t xml:space="preserve"> кредитите за обртни средства поврзани со растот на трошоците за енергија. Дури и така, во текот на 2022 година, како целина, растот на кредитирањето на приватниот сектор се забрза</w:t>
      </w:r>
      <w:r>
        <w:rPr>
          <w:rFonts w:ascii="Times New Roman" w:hAnsi="Times New Roman"/>
          <w:color w:val="000000"/>
          <w:sz w:val="24"/>
          <w:szCs w:val="24"/>
        </w:rPr>
        <w:t>л</w:t>
      </w:r>
      <w:r w:rsidRPr="009C5D97">
        <w:rPr>
          <w:rFonts w:ascii="Times New Roman" w:hAnsi="Times New Roman"/>
          <w:color w:val="000000"/>
          <w:sz w:val="24"/>
          <w:szCs w:val="24"/>
        </w:rPr>
        <w:t xml:space="preserve"> за 3,8 пп на 9,6</w:t>
      </w:r>
      <w:r>
        <w:rPr>
          <w:rFonts w:ascii="Times New Roman" w:hAnsi="Times New Roman"/>
          <w:color w:val="000000"/>
          <w:sz w:val="24"/>
          <w:szCs w:val="24"/>
        </w:rPr>
        <w:t xml:space="preserve"> </w:t>
      </w:r>
      <w:r w:rsidRPr="009C5D97">
        <w:rPr>
          <w:rFonts w:ascii="Times New Roman" w:hAnsi="Times New Roman"/>
          <w:color w:val="000000"/>
          <w:sz w:val="24"/>
          <w:szCs w:val="24"/>
        </w:rPr>
        <w:t>% годишно, пред да се забави во првиот квартал од 2023 година на 8,3% и понатаму на 6,4</w:t>
      </w:r>
      <w:r>
        <w:rPr>
          <w:rFonts w:ascii="Times New Roman" w:hAnsi="Times New Roman"/>
          <w:color w:val="000000"/>
          <w:sz w:val="24"/>
          <w:szCs w:val="24"/>
        </w:rPr>
        <w:t xml:space="preserve"> </w:t>
      </w:r>
      <w:r w:rsidRPr="009C5D97">
        <w:rPr>
          <w:rFonts w:ascii="Times New Roman" w:hAnsi="Times New Roman"/>
          <w:color w:val="000000"/>
          <w:sz w:val="24"/>
          <w:szCs w:val="24"/>
        </w:rPr>
        <w:t>% во вториот квартал. Кредитите во странска валута најмногу придонесува</w:t>
      </w:r>
      <w:r>
        <w:rPr>
          <w:rFonts w:ascii="Times New Roman" w:hAnsi="Times New Roman"/>
          <w:color w:val="000000"/>
          <w:sz w:val="24"/>
          <w:szCs w:val="24"/>
        </w:rPr>
        <w:t>ле</w:t>
      </w:r>
      <w:r w:rsidRPr="009C5D97">
        <w:rPr>
          <w:rFonts w:ascii="Times New Roman" w:hAnsi="Times New Roman"/>
          <w:color w:val="000000"/>
          <w:sz w:val="24"/>
          <w:szCs w:val="24"/>
        </w:rPr>
        <w:t xml:space="preserve"> </w:t>
      </w:r>
      <w:r>
        <w:rPr>
          <w:rFonts w:ascii="Times New Roman" w:hAnsi="Times New Roman"/>
          <w:color w:val="000000"/>
          <w:sz w:val="24"/>
          <w:szCs w:val="24"/>
        </w:rPr>
        <w:t>во</w:t>
      </w:r>
      <w:r w:rsidRPr="009C5D97">
        <w:rPr>
          <w:rFonts w:ascii="Times New Roman" w:hAnsi="Times New Roman"/>
          <w:color w:val="000000"/>
          <w:sz w:val="24"/>
          <w:szCs w:val="24"/>
        </w:rPr>
        <w:t xml:space="preserve"> годишните зголемувања. Соодносот на кредитите што се со странска деноминација </w:t>
      </w:r>
      <w:r w:rsidRPr="00A7058B">
        <w:rPr>
          <w:rFonts w:ascii="Times New Roman" w:hAnsi="Times New Roman"/>
          <w:color w:val="000000"/>
          <w:sz w:val="24"/>
          <w:szCs w:val="24"/>
        </w:rPr>
        <w:t>пораснал за 0,8 пп од година во година</w:t>
      </w:r>
      <w:r w:rsidRPr="009C5D97">
        <w:rPr>
          <w:rFonts w:ascii="Times New Roman" w:hAnsi="Times New Roman"/>
          <w:color w:val="000000"/>
          <w:sz w:val="24"/>
          <w:szCs w:val="24"/>
        </w:rPr>
        <w:t xml:space="preserve"> на 43,2</w:t>
      </w:r>
      <w:r>
        <w:rPr>
          <w:rFonts w:ascii="Times New Roman" w:hAnsi="Times New Roman"/>
          <w:color w:val="000000"/>
          <w:sz w:val="24"/>
          <w:szCs w:val="24"/>
        </w:rPr>
        <w:t xml:space="preserve"> </w:t>
      </w:r>
      <w:r w:rsidRPr="009C5D97">
        <w:rPr>
          <w:rFonts w:ascii="Times New Roman" w:hAnsi="Times New Roman"/>
          <w:color w:val="000000"/>
          <w:sz w:val="24"/>
          <w:szCs w:val="24"/>
        </w:rPr>
        <w:t>% во првиот квартал од 2023 година. Зголемувањето б</w:t>
      </w:r>
      <w:r>
        <w:rPr>
          <w:rFonts w:ascii="Times New Roman" w:hAnsi="Times New Roman"/>
          <w:color w:val="000000"/>
          <w:sz w:val="24"/>
          <w:szCs w:val="24"/>
        </w:rPr>
        <w:t>ило</w:t>
      </w:r>
      <w:r w:rsidRPr="009C5D97">
        <w:rPr>
          <w:rFonts w:ascii="Times New Roman" w:hAnsi="Times New Roman"/>
          <w:color w:val="000000"/>
          <w:sz w:val="24"/>
          <w:szCs w:val="24"/>
        </w:rPr>
        <w:t xml:space="preserve"> најнагласено во корпоративниот сектор, делумно поради тоа што корпорациите има</w:t>
      </w:r>
      <w:r>
        <w:rPr>
          <w:rFonts w:ascii="Times New Roman" w:hAnsi="Times New Roman"/>
          <w:color w:val="000000"/>
          <w:sz w:val="24"/>
          <w:szCs w:val="24"/>
        </w:rPr>
        <w:t>ле</w:t>
      </w:r>
      <w:r w:rsidRPr="009C5D97">
        <w:rPr>
          <w:rFonts w:ascii="Times New Roman" w:hAnsi="Times New Roman"/>
          <w:color w:val="000000"/>
          <w:sz w:val="24"/>
          <w:szCs w:val="24"/>
        </w:rPr>
        <w:t xml:space="preserve"> потреба од дополнителна ликвидност за да го покријат купувањето енергија. Сепак, севкупно, во вториот дел од годината, валутната деноминација на домашното кредитирање </w:t>
      </w:r>
      <w:r>
        <w:rPr>
          <w:rFonts w:ascii="Times New Roman" w:hAnsi="Times New Roman"/>
          <w:color w:val="000000"/>
          <w:sz w:val="24"/>
          <w:szCs w:val="24"/>
        </w:rPr>
        <w:t>по</w:t>
      </w:r>
      <w:r w:rsidRPr="009C5D97">
        <w:rPr>
          <w:rFonts w:ascii="Times New Roman" w:hAnsi="Times New Roman"/>
          <w:color w:val="000000"/>
          <w:sz w:val="24"/>
          <w:szCs w:val="24"/>
        </w:rPr>
        <w:t>натаму се префрли</w:t>
      </w:r>
      <w:r>
        <w:rPr>
          <w:rFonts w:ascii="Times New Roman" w:hAnsi="Times New Roman"/>
          <w:color w:val="000000"/>
          <w:sz w:val="24"/>
          <w:szCs w:val="24"/>
        </w:rPr>
        <w:t>ла</w:t>
      </w:r>
      <w:r w:rsidRPr="009C5D97">
        <w:rPr>
          <w:rFonts w:ascii="Times New Roman" w:hAnsi="Times New Roman"/>
          <w:color w:val="000000"/>
          <w:sz w:val="24"/>
          <w:szCs w:val="24"/>
        </w:rPr>
        <w:t xml:space="preserve"> кон кредити деноминирани во денари. </w:t>
      </w:r>
      <w:r>
        <w:rPr>
          <w:rFonts w:ascii="Times New Roman" w:hAnsi="Times New Roman"/>
          <w:color w:val="000000"/>
          <w:sz w:val="24"/>
          <w:szCs w:val="24"/>
        </w:rPr>
        <w:t>П</w:t>
      </w:r>
      <w:r w:rsidRPr="009C5D97">
        <w:rPr>
          <w:rFonts w:ascii="Times New Roman" w:hAnsi="Times New Roman"/>
          <w:color w:val="000000"/>
          <w:sz w:val="24"/>
          <w:szCs w:val="24"/>
        </w:rPr>
        <w:t>обарувачката на домаќинствата за депозити во странска валута се зајакна</w:t>
      </w:r>
      <w:r>
        <w:rPr>
          <w:rFonts w:ascii="Times New Roman" w:hAnsi="Times New Roman"/>
          <w:color w:val="000000"/>
          <w:sz w:val="24"/>
          <w:szCs w:val="24"/>
        </w:rPr>
        <w:t>ла</w:t>
      </w:r>
      <w:r w:rsidRPr="009C5D97">
        <w:rPr>
          <w:rFonts w:ascii="Times New Roman" w:hAnsi="Times New Roman"/>
          <w:color w:val="000000"/>
          <w:sz w:val="24"/>
          <w:szCs w:val="24"/>
        </w:rPr>
        <w:t xml:space="preserve"> во текот на пандемијата и на енергетската криза, </w:t>
      </w:r>
      <w:r>
        <w:rPr>
          <w:rFonts w:ascii="Times New Roman" w:hAnsi="Times New Roman"/>
          <w:color w:val="000000"/>
          <w:sz w:val="24"/>
          <w:szCs w:val="24"/>
        </w:rPr>
        <w:t xml:space="preserve">а </w:t>
      </w:r>
      <w:r w:rsidRPr="009C5D97">
        <w:rPr>
          <w:rFonts w:ascii="Times New Roman" w:hAnsi="Times New Roman"/>
          <w:color w:val="000000"/>
          <w:sz w:val="24"/>
          <w:szCs w:val="24"/>
        </w:rPr>
        <w:t>депозитите во националната валута повторно се зајакна</w:t>
      </w:r>
      <w:r>
        <w:rPr>
          <w:rFonts w:ascii="Times New Roman" w:hAnsi="Times New Roman"/>
          <w:color w:val="000000"/>
          <w:sz w:val="24"/>
          <w:szCs w:val="24"/>
        </w:rPr>
        <w:t>ле</w:t>
      </w:r>
      <w:r w:rsidRPr="009C5D97">
        <w:rPr>
          <w:rFonts w:ascii="Times New Roman" w:hAnsi="Times New Roman"/>
          <w:color w:val="000000"/>
          <w:sz w:val="24"/>
          <w:szCs w:val="24"/>
        </w:rPr>
        <w:t xml:space="preserve"> од почетокот на 2023 година, поттикнати од стратегијата на централната банка за користење различни задолжителни резерви за банкарските депозити во странска и </w:t>
      </w:r>
      <w:r w:rsidRPr="00A7058B">
        <w:rPr>
          <w:rFonts w:ascii="Times New Roman" w:hAnsi="Times New Roman"/>
          <w:color w:val="000000"/>
          <w:sz w:val="24"/>
          <w:szCs w:val="24"/>
        </w:rPr>
        <w:t>локална</w:t>
      </w:r>
      <w:r w:rsidRPr="009C5D97">
        <w:rPr>
          <w:rFonts w:ascii="Times New Roman" w:hAnsi="Times New Roman"/>
          <w:color w:val="000000"/>
          <w:sz w:val="24"/>
          <w:szCs w:val="24"/>
        </w:rPr>
        <w:t xml:space="preserve"> валута. Учеството на депозити деноминирани во странска валута во вкупните банкарски депозити изнесува 46,7</w:t>
      </w:r>
      <w:r>
        <w:rPr>
          <w:rFonts w:ascii="Times New Roman" w:hAnsi="Times New Roman"/>
          <w:color w:val="000000"/>
          <w:sz w:val="24"/>
          <w:szCs w:val="24"/>
        </w:rPr>
        <w:t xml:space="preserve"> </w:t>
      </w:r>
      <w:r w:rsidRPr="009C5D97">
        <w:rPr>
          <w:rFonts w:ascii="Times New Roman" w:hAnsi="Times New Roman"/>
          <w:color w:val="000000"/>
          <w:sz w:val="24"/>
          <w:szCs w:val="24"/>
        </w:rPr>
        <w:t>% на крајот на првиот квартал од 2023 година (-0,7 пп годишно).</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color w:val="000000"/>
          <w:sz w:val="24"/>
          <w:szCs w:val="24"/>
          <w:u w:val="single"/>
        </w:rPr>
        <w:t>Функционирање на пазарот на труд</w:t>
      </w:r>
    </w:p>
    <w:p w:rsidR="009768C4" w:rsidRPr="009C5D97" w:rsidRDefault="00397C4A" w:rsidP="00A661C4">
      <w:pPr>
        <w:shd w:val="clear" w:color="auto" w:fill="FFFFFF"/>
        <w:spacing w:before="120" w:after="120" w:line="240" w:lineRule="auto"/>
        <w:jc w:val="both"/>
        <w:rPr>
          <w:rFonts w:ascii="Times New Roman" w:hAnsi="Times New Roman"/>
          <w:sz w:val="24"/>
          <w:szCs w:val="24"/>
        </w:rPr>
      </w:pPr>
      <w:r>
        <w:rPr>
          <w:rFonts w:ascii="Times New Roman" w:hAnsi="Times New Roman"/>
          <w:b/>
          <w:bCs/>
          <w:noProof/>
          <w:color w:val="000000"/>
          <w:sz w:val="24"/>
          <w:szCs w:val="24"/>
          <w:lang w:val="en-GB" w:eastAsia="en-GB"/>
        </w:rPr>
        <w:drawing>
          <wp:anchor distT="0" distB="0" distL="114300" distR="114300" simplePos="0" relativeHeight="251666432" behindDoc="0" locked="0" layoutInCell="1" allowOverlap="1" wp14:anchorId="5D814D29" wp14:editId="1AB68435">
            <wp:simplePos x="914400" y="4398745"/>
            <wp:positionH relativeFrom="margin">
              <wp:align>left</wp:align>
            </wp:positionH>
            <wp:positionV relativeFrom="margin">
              <wp:align>center</wp:align>
            </wp:positionV>
            <wp:extent cx="3038862" cy="1898734"/>
            <wp:effectExtent l="0" t="0" r="9525"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4_M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38862" cy="1898734"/>
                    </a:xfrm>
                    <a:prstGeom prst="rect">
                      <a:avLst/>
                    </a:prstGeom>
                  </pic:spPr>
                </pic:pic>
              </a:graphicData>
            </a:graphic>
          </wp:anchor>
        </w:drawing>
      </w:r>
      <w:r w:rsidR="009768C4" w:rsidRPr="009C5D97">
        <w:rPr>
          <w:rFonts w:ascii="Times New Roman" w:hAnsi="Times New Roman"/>
          <w:b/>
          <w:bCs/>
          <w:color w:val="000000"/>
          <w:sz w:val="24"/>
          <w:szCs w:val="24"/>
        </w:rPr>
        <w:t xml:space="preserve">Отпорноста на пазарот на трудот ги прикрива постојаните структурни проблеми. </w:t>
      </w:r>
      <w:r w:rsidR="009768C4">
        <w:rPr>
          <w:rFonts w:ascii="Times New Roman" w:hAnsi="Times New Roman"/>
          <w:color w:val="000000"/>
          <w:sz w:val="24"/>
          <w:szCs w:val="24"/>
        </w:rPr>
        <w:t>Ф</w:t>
      </w:r>
      <w:r w:rsidR="009768C4" w:rsidRPr="009C5D97">
        <w:rPr>
          <w:rFonts w:ascii="Times New Roman" w:hAnsi="Times New Roman"/>
          <w:color w:val="000000"/>
          <w:sz w:val="24"/>
          <w:szCs w:val="24"/>
        </w:rPr>
        <w:t xml:space="preserve">искалната поддршка за работодавците постепено </w:t>
      </w:r>
      <w:r w:rsidR="009768C4">
        <w:rPr>
          <w:rFonts w:ascii="Times New Roman" w:hAnsi="Times New Roman"/>
          <w:color w:val="000000"/>
          <w:sz w:val="24"/>
          <w:szCs w:val="24"/>
        </w:rPr>
        <w:t xml:space="preserve">е </w:t>
      </w:r>
      <w:r w:rsidR="009768C4" w:rsidRPr="009C5D97">
        <w:rPr>
          <w:rFonts w:ascii="Times New Roman" w:hAnsi="Times New Roman"/>
          <w:color w:val="000000"/>
          <w:sz w:val="24"/>
          <w:szCs w:val="24"/>
        </w:rPr>
        <w:t xml:space="preserve">повлечена во втората половина </w:t>
      </w:r>
      <w:r w:rsidR="009768C4">
        <w:rPr>
          <w:rFonts w:ascii="Times New Roman" w:hAnsi="Times New Roman"/>
          <w:color w:val="000000"/>
          <w:sz w:val="24"/>
          <w:szCs w:val="24"/>
        </w:rPr>
        <w:t>на</w:t>
      </w:r>
      <w:r w:rsidR="009768C4" w:rsidRPr="009C5D97">
        <w:rPr>
          <w:rFonts w:ascii="Times New Roman" w:hAnsi="Times New Roman"/>
          <w:color w:val="000000"/>
          <w:sz w:val="24"/>
          <w:szCs w:val="24"/>
        </w:rPr>
        <w:t xml:space="preserve"> 2022 година, </w:t>
      </w:r>
      <w:r w:rsidR="009768C4">
        <w:rPr>
          <w:rFonts w:ascii="Times New Roman" w:hAnsi="Times New Roman"/>
          <w:color w:val="000000"/>
          <w:sz w:val="24"/>
          <w:szCs w:val="24"/>
        </w:rPr>
        <w:t xml:space="preserve">а </w:t>
      </w:r>
      <w:r w:rsidR="009768C4" w:rsidRPr="009C5D97">
        <w:rPr>
          <w:rFonts w:ascii="Times New Roman" w:hAnsi="Times New Roman"/>
          <w:color w:val="000000"/>
          <w:sz w:val="24"/>
          <w:szCs w:val="24"/>
        </w:rPr>
        <w:t>пазарот на трудот</w:t>
      </w:r>
      <w:r w:rsidR="009768C4" w:rsidRPr="009C5D97">
        <w:rPr>
          <w:rFonts w:ascii="Times New Roman" w:hAnsi="Times New Roman"/>
          <w:sz w:val="24"/>
          <w:szCs w:val="24"/>
        </w:rPr>
        <w:t xml:space="preserve"> </w:t>
      </w:r>
      <w:r w:rsidR="009768C4">
        <w:rPr>
          <w:rFonts w:ascii="Times New Roman" w:hAnsi="Times New Roman"/>
          <w:color w:val="000000"/>
          <w:sz w:val="24"/>
          <w:szCs w:val="24"/>
        </w:rPr>
        <w:t>и понатаму е</w:t>
      </w:r>
      <w:r w:rsidR="009768C4" w:rsidRPr="00A7058B">
        <w:rPr>
          <w:rFonts w:ascii="Times New Roman" w:hAnsi="Times New Roman"/>
          <w:color w:val="000000"/>
          <w:sz w:val="24"/>
          <w:szCs w:val="24"/>
        </w:rPr>
        <w:t xml:space="preserve"> отпорен</w:t>
      </w:r>
      <w:r w:rsidR="009768C4" w:rsidRPr="009C5D97">
        <w:rPr>
          <w:rFonts w:ascii="Times New Roman" w:hAnsi="Times New Roman"/>
          <w:color w:val="000000"/>
          <w:sz w:val="24"/>
          <w:szCs w:val="24"/>
        </w:rPr>
        <w:t>. Стапката на вработеност стабилно се зголемува</w:t>
      </w:r>
      <w:r w:rsidR="009768C4">
        <w:rPr>
          <w:rFonts w:ascii="Times New Roman" w:hAnsi="Times New Roman"/>
          <w:color w:val="000000"/>
          <w:sz w:val="24"/>
          <w:szCs w:val="24"/>
        </w:rPr>
        <w:t>ла</w:t>
      </w:r>
      <w:r w:rsidR="009768C4" w:rsidRPr="009C5D97">
        <w:rPr>
          <w:rFonts w:ascii="Times New Roman" w:hAnsi="Times New Roman"/>
          <w:color w:val="000000"/>
          <w:sz w:val="24"/>
          <w:szCs w:val="24"/>
        </w:rPr>
        <w:t xml:space="preserve"> во текот на последната деценија. Пандемијата на КОВИД-19 го прекина</w:t>
      </w:r>
      <w:r w:rsidR="009768C4">
        <w:rPr>
          <w:rFonts w:ascii="Times New Roman" w:hAnsi="Times New Roman"/>
          <w:color w:val="000000"/>
          <w:sz w:val="24"/>
          <w:szCs w:val="24"/>
        </w:rPr>
        <w:t>ла</w:t>
      </w:r>
      <w:r w:rsidR="009768C4" w:rsidRPr="009C5D97">
        <w:rPr>
          <w:rFonts w:ascii="Times New Roman" w:hAnsi="Times New Roman"/>
          <w:color w:val="000000"/>
          <w:sz w:val="24"/>
          <w:szCs w:val="24"/>
        </w:rPr>
        <w:t xml:space="preserve"> овој тренд, но во првиот квартал од 2023 година стапката на вработеност б</w:t>
      </w:r>
      <w:r w:rsidR="009768C4">
        <w:rPr>
          <w:rFonts w:ascii="Times New Roman" w:hAnsi="Times New Roman"/>
          <w:color w:val="000000"/>
          <w:sz w:val="24"/>
          <w:szCs w:val="24"/>
        </w:rPr>
        <w:t>ила</w:t>
      </w:r>
      <w:r w:rsidR="009768C4" w:rsidRPr="009C5D97">
        <w:rPr>
          <w:rFonts w:ascii="Times New Roman" w:hAnsi="Times New Roman"/>
          <w:color w:val="000000"/>
          <w:sz w:val="24"/>
          <w:szCs w:val="24"/>
        </w:rPr>
        <w:t xml:space="preserve"> над нивото пред пандемијата, на 56,5</w:t>
      </w:r>
      <w:r w:rsidR="009768C4">
        <w:rPr>
          <w:rFonts w:ascii="Times New Roman" w:hAnsi="Times New Roman"/>
          <w:color w:val="000000"/>
          <w:sz w:val="24"/>
          <w:szCs w:val="24"/>
        </w:rPr>
        <w:t xml:space="preserve"> </w:t>
      </w:r>
      <w:r w:rsidR="009768C4" w:rsidRPr="009C5D97">
        <w:rPr>
          <w:rFonts w:ascii="Times New Roman" w:hAnsi="Times New Roman"/>
          <w:color w:val="000000"/>
          <w:sz w:val="24"/>
          <w:szCs w:val="24"/>
        </w:rPr>
        <w:t>%. За 2022 година, како целина, просечната стапка на невработеност (старосна група 15-64) б</w:t>
      </w:r>
      <w:r w:rsidR="009768C4">
        <w:rPr>
          <w:rFonts w:ascii="Times New Roman" w:hAnsi="Times New Roman"/>
          <w:color w:val="000000"/>
          <w:sz w:val="24"/>
          <w:szCs w:val="24"/>
        </w:rPr>
        <w:t>ила</w:t>
      </w:r>
      <w:r w:rsidR="009768C4" w:rsidRPr="009C5D97">
        <w:rPr>
          <w:rFonts w:ascii="Times New Roman" w:hAnsi="Times New Roman"/>
          <w:color w:val="000000"/>
          <w:sz w:val="24"/>
          <w:szCs w:val="24"/>
        </w:rPr>
        <w:t xml:space="preserve"> 14,5</w:t>
      </w:r>
      <w:r w:rsidR="009768C4">
        <w:rPr>
          <w:rFonts w:ascii="Times New Roman" w:hAnsi="Times New Roman"/>
          <w:color w:val="000000"/>
          <w:sz w:val="24"/>
          <w:szCs w:val="24"/>
        </w:rPr>
        <w:t xml:space="preserve"> </w:t>
      </w:r>
      <w:r w:rsidR="009768C4" w:rsidRPr="009C5D97">
        <w:rPr>
          <w:rFonts w:ascii="Times New Roman" w:hAnsi="Times New Roman"/>
          <w:color w:val="000000"/>
          <w:sz w:val="24"/>
          <w:szCs w:val="24"/>
        </w:rPr>
        <w:t>% во споредба со 15,6</w:t>
      </w:r>
      <w:r w:rsidR="009768C4">
        <w:rPr>
          <w:rFonts w:ascii="Times New Roman" w:hAnsi="Times New Roman"/>
          <w:color w:val="000000"/>
          <w:sz w:val="24"/>
          <w:szCs w:val="24"/>
        </w:rPr>
        <w:t xml:space="preserve"> </w:t>
      </w:r>
      <w:r w:rsidR="009768C4" w:rsidRPr="009C5D97">
        <w:rPr>
          <w:rFonts w:ascii="Times New Roman" w:hAnsi="Times New Roman"/>
          <w:color w:val="000000"/>
          <w:sz w:val="24"/>
          <w:szCs w:val="24"/>
        </w:rPr>
        <w:t>% во 2021 година. Работната сила годишно се намалува</w:t>
      </w:r>
      <w:r w:rsidR="009768C4">
        <w:rPr>
          <w:rFonts w:ascii="Times New Roman" w:hAnsi="Times New Roman"/>
          <w:color w:val="000000"/>
          <w:sz w:val="24"/>
          <w:szCs w:val="24"/>
        </w:rPr>
        <w:t>ла</w:t>
      </w:r>
      <w:r w:rsidR="009768C4" w:rsidRPr="009C5D97">
        <w:rPr>
          <w:rFonts w:ascii="Times New Roman" w:hAnsi="Times New Roman"/>
          <w:color w:val="000000"/>
          <w:sz w:val="24"/>
          <w:szCs w:val="24"/>
        </w:rPr>
        <w:t xml:space="preserve"> за 1,3</w:t>
      </w:r>
      <w:r w:rsidR="009768C4">
        <w:rPr>
          <w:rFonts w:ascii="Times New Roman" w:hAnsi="Times New Roman"/>
          <w:color w:val="000000"/>
          <w:sz w:val="24"/>
          <w:szCs w:val="24"/>
        </w:rPr>
        <w:t xml:space="preserve"> </w:t>
      </w:r>
      <w:r w:rsidR="009768C4" w:rsidRPr="009C5D97">
        <w:rPr>
          <w:rFonts w:ascii="Times New Roman" w:hAnsi="Times New Roman"/>
          <w:color w:val="000000"/>
          <w:sz w:val="24"/>
          <w:szCs w:val="24"/>
        </w:rPr>
        <w:t>% со тоа што најголем дел се жени (-2% во споредба со 0,8</w:t>
      </w:r>
      <w:r w:rsidR="009768C4">
        <w:rPr>
          <w:rFonts w:ascii="Times New Roman" w:hAnsi="Times New Roman"/>
          <w:color w:val="000000"/>
          <w:sz w:val="24"/>
          <w:szCs w:val="24"/>
        </w:rPr>
        <w:t xml:space="preserve"> </w:t>
      </w:r>
      <w:r w:rsidR="009768C4" w:rsidRPr="009C5D97">
        <w:rPr>
          <w:rFonts w:ascii="Times New Roman" w:hAnsi="Times New Roman"/>
          <w:color w:val="000000"/>
          <w:sz w:val="24"/>
          <w:szCs w:val="24"/>
        </w:rPr>
        <w:t>% за мажите). Стапката на учество во пазарот на трудот се намали</w:t>
      </w:r>
      <w:r w:rsidR="009768C4">
        <w:rPr>
          <w:rFonts w:ascii="Times New Roman" w:hAnsi="Times New Roman"/>
          <w:color w:val="000000"/>
          <w:sz w:val="24"/>
          <w:szCs w:val="24"/>
        </w:rPr>
        <w:t>ла</w:t>
      </w:r>
      <w:r w:rsidR="009768C4" w:rsidRPr="009C5D97">
        <w:rPr>
          <w:rFonts w:ascii="Times New Roman" w:hAnsi="Times New Roman"/>
          <w:color w:val="000000"/>
          <w:sz w:val="24"/>
          <w:szCs w:val="24"/>
        </w:rPr>
        <w:t xml:space="preserve"> на 66,4</w:t>
      </w:r>
      <w:r w:rsidR="009768C4">
        <w:rPr>
          <w:rFonts w:ascii="Times New Roman" w:hAnsi="Times New Roman"/>
          <w:color w:val="000000"/>
          <w:sz w:val="24"/>
          <w:szCs w:val="24"/>
        </w:rPr>
        <w:t xml:space="preserve"> </w:t>
      </w:r>
      <w:r w:rsidR="009768C4" w:rsidRPr="009C5D97">
        <w:rPr>
          <w:rFonts w:ascii="Times New Roman" w:hAnsi="Times New Roman"/>
          <w:color w:val="000000"/>
          <w:sz w:val="24"/>
          <w:szCs w:val="24"/>
        </w:rPr>
        <w:t>% во 2022 година (-0,4 пп годишно). Младите луѓе особено продолжуваат</w:t>
      </w:r>
      <w:r w:rsidR="009768C4" w:rsidRPr="009C5D97">
        <w:rPr>
          <w:rFonts w:ascii="Times New Roman" w:hAnsi="Times New Roman"/>
          <w:sz w:val="24"/>
          <w:szCs w:val="24"/>
        </w:rPr>
        <w:t xml:space="preserve"> </w:t>
      </w:r>
      <w:r w:rsidR="009768C4" w:rsidRPr="009C5D97">
        <w:rPr>
          <w:rFonts w:ascii="Times New Roman" w:hAnsi="Times New Roman"/>
          <w:color w:val="000000"/>
          <w:sz w:val="24"/>
          <w:szCs w:val="24"/>
        </w:rPr>
        <w:t>да се соочуваат со пречки при влез на пазарот на трудот. Во 2022 година Владата доне</w:t>
      </w:r>
      <w:r w:rsidR="009768C4">
        <w:rPr>
          <w:rFonts w:ascii="Times New Roman" w:hAnsi="Times New Roman"/>
          <w:color w:val="000000"/>
          <w:sz w:val="24"/>
          <w:szCs w:val="24"/>
        </w:rPr>
        <w:t>ла</w:t>
      </w:r>
      <w:r w:rsidR="009768C4" w:rsidRPr="009C5D97">
        <w:rPr>
          <w:rFonts w:ascii="Times New Roman" w:hAnsi="Times New Roman"/>
          <w:color w:val="000000"/>
          <w:sz w:val="24"/>
          <w:szCs w:val="24"/>
        </w:rPr>
        <w:t xml:space="preserve"> нов план за спроведување со цел зајакнување на </w:t>
      </w:r>
      <w:r w:rsidR="009768C4">
        <w:rPr>
          <w:rFonts w:ascii="Times New Roman" w:hAnsi="Times New Roman"/>
          <w:color w:val="000000"/>
          <w:sz w:val="24"/>
          <w:szCs w:val="24"/>
        </w:rPr>
        <w:t>Г</w:t>
      </w:r>
      <w:r w:rsidR="009768C4" w:rsidRPr="009C5D97">
        <w:rPr>
          <w:rFonts w:ascii="Times New Roman" w:hAnsi="Times New Roman"/>
          <w:color w:val="000000"/>
          <w:sz w:val="24"/>
          <w:szCs w:val="24"/>
        </w:rPr>
        <w:t>аранција</w:t>
      </w:r>
      <w:r w:rsidR="009768C4">
        <w:rPr>
          <w:rFonts w:ascii="Times New Roman" w:hAnsi="Times New Roman"/>
          <w:color w:val="000000"/>
          <w:sz w:val="24"/>
          <w:szCs w:val="24"/>
        </w:rPr>
        <w:t>та за млади</w:t>
      </w:r>
      <w:r w:rsidR="009768C4" w:rsidRPr="009C5D97">
        <w:rPr>
          <w:rFonts w:ascii="Times New Roman" w:hAnsi="Times New Roman"/>
          <w:color w:val="000000"/>
          <w:sz w:val="24"/>
          <w:szCs w:val="24"/>
        </w:rPr>
        <w:t xml:space="preserve"> воведена уште од 2018 година и која придоне</w:t>
      </w:r>
      <w:r w:rsidR="009768C4">
        <w:rPr>
          <w:rFonts w:ascii="Times New Roman" w:hAnsi="Times New Roman"/>
          <w:color w:val="000000"/>
          <w:sz w:val="24"/>
          <w:szCs w:val="24"/>
        </w:rPr>
        <w:t>ла</w:t>
      </w:r>
      <w:r w:rsidR="009768C4" w:rsidRPr="009C5D97">
        <w:rPr>
          <w:rFonts w:ascii="Times New Roman" w:hAnsi="Times New Roman"/>
          <w:color w:val="000000"/>
          <w:sz w:val="24"/>
          <w:szCs w:val="24"/>
        </w:rPr>
        <w:t xml:space="preserve"> за значително намалување на невработеноста на младите од 45,4</w:t>
      </w:r>
      <w:r w:rsidR="009768C4">
        <w:rPr>
          <w:rFonts w:ascii="Times New Roman" w:hAnsi="Times New Roman"/>
          <w:color w:val="000000"/>
          <w:sz w:val="24"/>
          <w:szCs w:val="24"/>
        </w:rPr>
        <w:t xml:space="preserve"> </w:t>
      </w:r>
      <w:r w:rsidR="009768C4" w:rsidRPr="009C5D97">
        <w:rPr>
          <w:rFonts w:ascii="Times New Roman" w:hAnsi="Times New Roman"/>
          <w:color w:val="000000"/>
          <w:sz w:val="24"/>
          <w:szCs w:val="24"/>
        </w:rPr>
        <w:t>% во 2018 година до сѐ уште високи 32,5</w:t>
      </w:r>
      <w:r w:rsidR="009768C4">
        <w:rPr>
          <w:rFonts w:ascii="Times New Roman" w:hAnsi="Times New Roman"/>
          <w:color w:val="000000"/>
          <w:sz w:val="24"/>
          <w:szCs w:val="24"/>
        </w:rPr>
        <w:t xml:space="preserve"> </w:t>
      </w:r>
      <w:r w:rsidR="009768C4" w:rsidRPr="009C5D97">
        <w:rPr>
          <w:rFonts w:ascii="Times New Roman" w:hAnsi="Times New Roman"/>
          <w:color w:val="000000"/>
          <w:sz w:val="24"/>
          <w:szCs w:val="24"/>
        </w:rPr>
        <w:t xml:space="preserve">% во 2022 година. Стапката на неактивност на пазарот на трудот </w:t>
      </w:r>
      <w:r w:rsidR="009768C4">
        <w:rPr>
          <w:rFonts w:ascii="Times New Roman" w:hAnsi="Times New Roman"/>
          <w:color w:val="000000"/>
          <w:sz w:val="24"/>
          <w:szCs w:val="24"/>
        </w:rPr>
        <w:t>била</w:t>
      </w:r>
      <w:r w:rsidR="009768C4" w:rsidRPr="009C5D97">
        <w:rPr>
          <w:rFonts w:ascii="Times New Roman" w:hAnsi="Times New Roman"/>
          <w:color w:val="000000"/>
          <w:sz w:val="24"/>
          <w:szCs w:val="24"/>
        </w:rPr>
        <w:t xml:space="preserve"> особено висока за жените и, </w:t>
      </w:r>
      <w:r w:rsidR="009768C4" w:rsidRPr="00A7058B">
        <w:rPr>
          <w:rFonts w:ascii="Times New Roman" w:hAnsi="Times New Roman"/>
          <w:color w:val="000000"/>
          <w:sz w:val="24"/>
          <w:szCs w:val="24"/>
        </w:rPr>
        <w:t xml:space="preserve">по </w:t>
      </w:r>
      <w:r w:rsidR="009768C4">
        <w:rPr>
          <w:rFonts w:ascii="Times New Roman" w:hAnsi="Times New Roman"/>
          <w:color w:val="000000"/>
          <w:sz w:val="24"/>
          <w:szCs w:val="24"/>
        </w:rPr>
        <w:t>постојаното намалување</w:t>
      </w:r>
      <w:r w:rsidR="009768C4" w:rsidRPr="009C5D97">
        <w:rPr>
          <w:rFonts w:ascii="Times New Roman" w:hAnsi="Times New Roman"/>
          <w:color w:val="000000"/>
          <w:sz w:val="24"/>
          <w:szCs w:val="24"/>
        </w:rPr>
        <w:t xml:space="preserve"> </w:t>
      </w:r>
      <w:r w:rsidR="009768C4">
        <w:rPr>
          <w:rFonts w:ascii="Times New Roman" w:hAnsi="Times New Roman"/>
          <w:color w:val="000000"/>
          <w:sz w:val="24"/>
          <w:szCs w:val="24"/>
        </w:rPr>
        <w:t>по</w:t>
      </w:r>
      <w:r w:rsidR="009768C4" w:rsidRPr="009C5D97">
        <w:rPr>
          <w:rFonts w:ascii="Times New Roman" w:hAnsi="Times New Roman"/>
          <w:color w:val="000000"/>
          <w:sz w:val="24"/>
          <w:szCs w:val="24"/>
        </w:rPr>
        <w:t>меѓу 2014 и 2019 година, родовиот јаз се прошири</w:t>
      </w:r>
      <w:r w:rsidR="009768C4">
        <w:rPr>
          <w:rFonts w:ascii="Times New Roman" w:hAnsi="Times New Roman"/>
          <w:color w:val="000000"/>
          <w:sz w:val="24"/>
          <w:szCs w:val="24"/>
        </w:rPr>
        <w:t>л</w:t>
      </w:r>
      <w:r w:rsidR="009768C4" w:rsidRPr="009C5D97">
        <w:rPr>
          <w:rFonts w:ascii="Times New Roman" w:hAnsi="Times New Roman"/>
          <w:color w:val="000000"/>
          <w:sz w:val="24"/>
          <w:szCs w:val="24"/>
        </w:rPr>
        <w:t xml:space="preserve"> трета година по ред во 2022 година</w:t>
      </w:r>
      <w:r w:rsidR="009768C4">
        <w:rPr>
          <w:rFonts w:ascii="Times New Roman" w:hAnsi="Times New Roman"/>
          <w:color w:val="000000"/>
          <w:sz w:val="24"/>
          <w:szCs w:val="24"/>
        </w:rPr>
        <w:t>,</w:t>
      </w:r>
      <w:r w:rsidR="009768C4" w:rsidRPr="009C5D97">
        <w:rPr>
          <w:rFonts w:ascii="Times New Roman" w:hAnsi="Times New Roman"/>
          <w:color w:val="000000"/>
          <w:sz w:val="24"/>
          <w:szCs w:val="24"/>
        </w:rPr>
        <w:t xml:space="preserve"> (за 0.8 пп на 24,1 пп), додека стапката на учество за мажите остана</w:t>
      </w:r>
      <w:r w:rsidR="009768C4">
        <w:rPr>
          <w:rFonts w:ascii="Times New Roman" w:hAnsi="Times New Roman"/>
          <w:color w:val="000000"/>
          <w:sz w:val="24"/>
          <w:szCs w:val="24"/>
        </w:rPr>
        <w:t>ла</w:t>
      </w:r>
      <w:r w:rsidR="009768C4" w:rsidRPr="009C5D97">
        <w:rPr>
          <w:rFonts w:ascii="Times New Roman" w:hAnsi="Times New Roman"/>
          <w:color w:val="000000"/>
          <w:sz w:val="24"/>
          <w:szCs w:val="24"/>
        </w:rPr>
        <w:t xml:space="preserve"> стабилна (на 78,4</w:t>
      </w:r>
      <w:r w:rsidR="009768C4">
        <w:rPr>
          <w:rFonts w:ascii="Times New Roman" w:hAnsi="Times New Roman"/>
          <w:color w:val="000000"/>
          <w:sz w:val="24"/>
          <w:szCs w:val="24"/>
        </w:rPr>
        <w:t xml:space="preserve"> </w:t>
      </w:r>
      <w:r w:rsidR="009768C4" w:rsidRPr="009C5D97">
        <w:rPr>
          <w:rFonts w:ascii="Times New Roman" w:hAnsi="Times New Roman"/>
          <w:color w:val="000000"/>
          <w:sz w:val="24"/>
          <w:szCs w:val="24"/>
        </w:rPr>
        <w:t>%), а се намали</w:t>
      </w:r>
      <w:r w:rsidR="009768C4">
        <w:rPr>
          <w:rFonts w:ascii="Times New Roman" w:hAnsi="Times New Roman"/>
          <w:color w:val="000000"/>
          <w:sz w:val="24"/>
          <w:szCs w:val="24"/>
        </w:rPr>
        <w:t>ла</w:t>
      </w:r>
      <w:r w:rsidR="009768C4" w:rsidRPr="009C5D97">
        <w:rPr>
          <w:rFonts w:ascii="Times New Roman" w:hAnsi="Times New Roman"/>
          <w:color w:val="000000"/>
          <w:sz w:val="24"/>
          <w:szCs w:val="24"/>
        </w:rPr>
        <w:t xml:space="preserve"> за жените (на 54,3</w:t>
      </w:r>
      <w:r w:rsidR="009768C4">
        <w:rPr>
          <w:rFonts w:ascii="Times New Roman" w:hAnsi="Times New Roman"/>
          <w:color w:val="000000"/>
          <w:sz w:val="24"/>
          <w:szCs w:val="24"/>
        </w:rPr>
        <w:t xml:space="preserve"> </w:t>
      </w:r>
      <w:r w:rsidR="009768C4" w:rsidRPr="009C5D97">
        <w:rPr>
          <w:rFonts w:ascii="Times New Roman" w:hAnsi="Times New Roman"/>
          <w:color w:val="000000"/>
          <w:sz w:val="24"/>
          <w:szCs w:val="24"/>
        </w:rPr>
        <w:t>%). Долгорочната невработеност е на околу 80</w:t>
      </w:r>
      <w:r w:rsidR="009768C4">
        <w:rPr>
          <w:rFonts w:ascii="Times New Roman" w:hAnsi="Times New Roman"/>
          <w:color w:val="000000"/>
          <w:sz w:val="24"/>
          <w:szCs w:val="24"/>
        </w:rPr>
        <w:t xml:space="preserve"> </w:t>
      </w:r>
      <w:r w:rsidR="009768C4" w:rsidRPr="009C5D97">
        <w:rPr>
          <w:rFonts w:ascii="Times New Roman" w:hAnsi="Times New Roman"/>
          <w:color w:val="000000"/>
          <w:sz w:val="24"/>
          <w:szCs w:val="24"/>
        </w:rPr>
        <w:t>% од вкупната невработеност</w:t>
      </w:r>
      <w:r w:rsidR="009768C4">
        <w:rPr>
          <w:rFonts w:ascii="Times New Roman" w:hAnsi="Times New Roman"/>
          <w:color w:val="000000"/>
          <w:sz w:val="24"/>
          <w:szCs w:val="24"/>
        </w:rPr>
        <w:t>,</w:t>
      </w:r>
      <w:r w:rsidR="009768C4" w:rsidRPr="009C5D97">
        <w:rPr>
          <w:rFonts w:ascii="Times New Roman" w:hAnsi="Times New Roman"/>
          <w:color w:val="000000"/>
          <w:sz w:val="24"/>
          <w:szCs w:val="24"/>
        </w:rPr>
        <w:t xml:space="preserve"> при што во голема мера го отсликува вкоренетото несовпаѓање на вештините. </w:t>
      </w:r>
      <w:r w:rsidR="009768C4" w:rsidRPr="00A7058B">
        <w:rPr>
          <w:rFonts w:ascii="Times New Roman" w:hAnsi="Times New Roman"/>
          <w:color w:val="000000"/>
          <w:sz w:val="24"/>
          <w:szCs w:val="24"/>
        </w:rPr>
        <w:t xml:space="preserve">Трошењето </w:t>
      </w:r>
      <w:r w:rsidR="00DF733D">
        <w:rPr>
          <w:rFonts w:ascii="Times New Roman" w:hAnsi="Times New Roman"/>
          <w:color w:val="000000"/>
          <w:sz w:val="24"/>
          <w:szCs w:val="24"/>
        </w:rPr>
        <w:t>за</w:t>
      </w:r>
      <w:r w:rsidR="009768C4" w:rsidRPr="00A7058B">
        <w:rPr>
          <w:rFonts w:ascii="Times New Roman" w:hAnsi="Times New Roman"/>
          <w:color w:val="000000"/>
          <w:sz w:val="24"/>
          <w:szCs w:val="24"/>
        </w:rPr>
        <w:t xml:space="preserve"> активните политики за пазар</w:t>
      </w:r>
      <w:r w:rsidR="009768C4" w:rsidRPr="009C5D97">
        <w:rPr>
          <w:rFonts w:ascii="Times New Roman" w:hAnsi="Times New Roman"/>
          <w:color w:val="000000"/>
          <w:sz w:val="24"/>
          <w:szCs w:val="24"/>
        </w:rPr>
        <w:t>от на трудот (0,3</w:t>
      </w:r>
      <w:r w:rsidR="009768C4">
        <w:rPr>
          <w:rFonts w:ascii="Times New Roman" w:hAnsi="Times New Roman"/>
          <w:color w:val="000000"/>
          <w:sz w:val="24"/>
          <w:szCs w:val="24"/>
        </w:rPr>
        <w:t xml:space="preserve"> </w:t>
      </w:r>
      <w:r w:rsidR="009768C4" w:rsidRPr="009C5D97">
        <w:rPr>
          <w:rFonts w:ascii="Times New Roman" w:hAnsi="Times New Roman"/>
          <w:color w:val="000000"/>
          <w:sz w:val="24"/>
          <w:szCs w:val="24"/>
        </w:rPr>
        <w:t>% од БДП во 2022 година) е релативно високо во споредба со регионот, но пониско од просекот на ЕУ (0,6</w:t>
      </w:r>
      <w:r w:rsidR="009768C4">
        <w:rPr>
          <w:rFonts w:ascii="Times New Roman" w:hAnsi="Times New Roman"/>
          <w:color w:val="000000"/>
          <w:sz w:val="24"/>
          <w:szCs w:val="24"/>
        </w:rPr>
        <w:t xml:space="preserve"> </w:t>
      </w:r>
      <w:r w:rsidR="009768C4" w:rsidRPr="009C5D97">
        <w:rPr>
          <w:rFonts w:ascii="Times New Roman" w:hAnsi="Times New Roman"/>
          <w:color w:val="000000"/>
          <w:sz w:val="24"/>
          <w:szCs w:val="24"/>
        </w:rPr>
        <w:t>% од БДП). Со оглед на ограничените човечки и финансиски ресурси во агенциите за вработување, Владата се соочува со предизвикот за подобро таргетирање на ранливите невработени лица, со цел нивно учество во пазарот на труд. Просечната бруто</w:t>
      </w:r>
      <w:r w:rsidR="009768C4">
        <w:rPr>
          <w:rFonts w:ascii="Times New Roman" w:hAnsi="Times New Roman"/>
          <w:color w:val="000000"/>
          <w:sz w:val="24"/>
          <w:szCs w:val="24"/>
        </w:rPr>
        <w:t>-</w:t>
      </w:r>
      <w:r w:rsidR="009768C4" w:rsidRPr="009C5D97">
        <w:rPr>
          <w:rFonts w:ascii="Times New Roman" w:hAnsi="Times New Roman"/>
          <w:color w:val="000000"/>
          <w:sz w:val="24"/>
          <w:szCs w:val="24"/>
        </w:rPr>
        <w:t xml:space="preserve"> номинална плата порасна</w:t>
      </w:r>
      <w:r w:rsidR="009768C4">
        <w:rPr>
          <w:rFonts w:ascii="Times New Roman" w:hAnsi="Times New Roman"/>
          <w:color w:val="000000"/>
          <w:sz w:val="24"/>
          <w:szCs w:val="24"/>
        </w:rPr>
        <w:t>ла</w:t>
      </w:r>
      <w:r w:rsidR="009768C4" w:rsidRPr="009C5D97">
        <w:rPr>
          <w:rFonts w:ascii="Times New Roman" w:hAnsi="Times New Roman"/>
          <w:color w:val="000000"/>
          <w:sz w:val="24"/>
          <w:szCs w:val="24"/>
        </w:rPr>
        <w:t xml:space="preserve"> за 11,1% во 2022 година, со забрзување на годишното зголемување </w:t>
      </w:r>
      <w:r w:rsidR="009768C4" w:rsidRPr="00A7058B">
        <w:rPr>
          <w:rFonts w:ascii="Times New Roman" w:hAnsi="Times New Roman"/>
          <w:color w:val="000000"/>
          <w:sz w:val="24"/>
          <w:szCs w:val="24"/>
        </w:rPr>
        <w:t>на</w:t>
      </w:r>
      <w:r w:rsidR="009768C4" w:rsidRPr="009C5D97">
        <w:rPr>
          <w:rFonts w:ascii="Times New Roman" w:hAnsi="Times New Roman"/>
          <w:color w:val="000000"/>
          <w:sz w:val="24"/>
          <w:szCs w:val="24"/>
        </w:rPr>
        <w:t xml:space="preserve"> 14,3</w:t>
      </w:r>
      <w:r w:rsidR="009768C4">
        <w:rPr>
          <w:rFonts w:ascii="Times New Roman" w:hAnsi="Times New Roman"/>
          <w:color w:val="000000"/>
          <w:sz w:val="24"/>
          <w:szCs w:val="24"/>
        </w:rPr>
        <w:t xml:space="preserve"> </w:t>
      </w:r>
      <w:r w:rsidR="009768C4" w:rsidRPr="009C5D97">
        <w:rPr>
          <w:rFonts w:ascii="Times New Roman" w:hAnsi="Times New Roman"/>
          <w:color w:val="000000"/>
          <w:sz w:val="24"/>
          <w:szCs w:val="24"/>
        </w:rPr>
        <w:t xml:space="preserve">% во просек во првата половина од 2023 година. Реалниот раст на платите </w:t>
      </w:r>
      <w:r w:rsidR="009768C4" w:rsidRPr="00A7058B">
        <w:rPr>
          <w:rFonts w:ascii="Times New Roman" w:hAnsi="Times New Roman"/>
          <w:color w:val="000000"/>
          <w:sz w:val="24"/>
          <w:szCs w:val="24"/>
        </w:rPr>
        <w:t>излезе</w:t>
      </w:r>
      <w:r w:rsidR="009768C4" w:rsidRPr="009C5D97">
        <w:rPr>
          <w:rFonts w:ascii="Times New Roman" w:hAnsi="Times New Roman"/>
          <w:color w:val="000000"/>
          <w:sz w:val="24"/>
          <w:szCs w:val="24"/>
        </w:rPr>
        <w:t xml:space="preserve"> позитивен од април 2023 година, по покачувањето на минималната плата според механизмот за индексирање што ги </w:t>
      </w:r>
      <w:r w:rsidR="009768C4">
        <w:rPr>
          <w:rFonts w:ascii="Times New Roman" w:hAnsi="Times New Roman"/>
          <w:color w:val="000000"/>
          <w:sz w:val="24"/>
          <w:szCs w:val="24"/>
        </w:rPr>
        <w:t>има</w:t>
      </w:r>
      <w:r w:rsidR="009768C4" w:rsidRPr="009C5D97">
        <w:rPr>
          <w:rFonts w:ascii="Times New Roman" w:hAnsi="Times New Roman"/>
          <w:color w:val="000000"/>
          <w:sz w:val="24"/>
          <w:szCs w:val="24"/>
        </w:rPr>
        <w:t xml:space="preserve"> предвид инфлацијата и промените на просечната плата. Просечното даночно оптоварување е регресивно на дното на распределбата на доходот; просечната стапка на придонеси зазема многу поголем удел од вкупниот приход на лицата со ниски плати.</w:t>
      </w:r>
    </w:p>
    <w:p w:rsidR="009768C4" w:rsidRPr="009C5D97" w:rsidRDefault="009768C4" w:rsidP="00A661C4">
      <w:pPr>
        <w:pStyle w:val="Heading2"/>
      </w:pPr>
      <w:bookmarkStart w:id="32" w:name="bookmark25"/>
      <w:bookmarkStart w:id="33" w:name="_Toc150864253"/>
      <w:r w:rsidRPr="009C5D97">
        <w:t>2</w:t>
      </w:r>
      <w:bookmarkEnd w:id="32"/>
      <w:r w:rsidRPr="009C5D97">
        <w:t>.3.2. Капацитет за справување со конкурентскиот притисок и пазарните сили во Унијата</w:t>
      </w:r>
      <w:bookmarkEnd w:id="33"/>
    </w:p>
    <w:p w:rsidR="009768C4" w:rsidRPr="009C5D97"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 xml:space="preserve">Северна Македонија постигна </w:t>
      </w:r>
      <w:r w:rsidRPr="009C5D97">
        <w:rPr>
          <w:rFonts w:ascii="Times New Roman" w:hAnsi="Times New Roman"/>
          <w:b/>
          <w:bCs/>
          <w:color w:val="000000"/>
          <w:sz w:val="24"/>
          <w:szCs w:val="24"/>
        </w:rPr>
        <w:t>одреден напредок</w:t>
      </w:r>
      <w:r w:rsidRPr="009C5D97">
        <w:rPr>
          <w:rFonts w:ascii="Times New Roman" w:hAnsi="Times New Roman"/>
          <w:color w:val="000000"/>
          <w:sz w:val="24"/>
          <w:szCs w:val="24"/>
        </w:rPr>
        <w:t xml:space="preserve"> и е </w:t>
      </w:r>
      <w:r w:rsidRPr="009C5D97">
        <w:rPr>
          <w:rFonts w:ascii="Times New Roman" w:hAnsi="Times New Roman"/>
          <w:b/>
          <w:bCs/>
          <w:color w:val="000000"/>
          <w:sz w:val="24"/>
          <w:szCs w:val="24"/>
        </w:rPr>
        <w:t>умерено подготвена</w:t>
      </w:r>
      <w:r w:rsidRPr="009C5D97">
        <w:rPr>
          <w:rFonts w:ascii="Times New Roman" w:hAnsi="Times New Roman"/>
          <w:color w:val="000000"/>
          <w:sz w:val="24"/>
          <w:szCs w:val="24"/>
        </w:rPr>
        <w:t xml:space="preserve"> да се справи со конкурентскиот притисок и пазарните сили во рамките на ЕУ. Интеграцијата со ЕУ во трговијата и инвестициите </w:t>
      </w:r>
      <w:r w:rsidRPr="00382B0A">
        <w:rPr>
          <w:rFonts w:ascii="Times New Roman" w:hAnsi="Times New Roman"/>
          <w:color w:val="000000"/>
          <w:sz w:val="24"/>
          <w:szCs w:val="24"/>
        </w:rPr>
        <w:t>остана</w:t>
      </w:r>
      <w:r w:rsidRPr="009C5D97">
        <w:rPr>
          <w:rFonts w:ascii="Times New Roman" w:hAnsi="Times New Roman"/>
          <w:color w:val="000000"/>
          <w:sz w:val="24"/>
          <w:szCs w:val="24"/>
        </w:rPr>
        <w:t xml:space="preserve"> на високо ниво во 2022 година. Уделот на производите со висока вредност дополнително е зголем</w:t>
      </w:r>
      <w:r>
        <w:rPr>
          <w:rFonts w:ascii="Times New Roman" w:hAnsi="Times New Roman"/>
          <w:color w:val="000000"/>
          <w:sz w:val="24"/>
          <w:szCs w:val="24"/>
        </w:rPr>
        <w:t>ен</w:t>
      </w:r>
      <w:r w:rsidRPr="009C5D97">
        <w:rPr>
          <w:rFonts w:ascii="Times New Roman" w:hAnsi="Times New Roman"/>
          <w:color w:val="000000"/>
          <w:sz w:val="24"/>
          <w:szCs w:val="24"/>
        </w:rPr>
        <w:t xml:space="preserve">, а трговската отвореност е </w:t>
      </w:r>
      <w:r w:rsidRPr="00382B0A">
        <w:rPr>
          <w:rFonts w:ascii="Times New Roman" w:hAnsi="Times New Roman"/>
          <w:color w:val="000000"/>
          <w:sz w:val="24"/>
          <w:szCs w:val="24"/>
        </w:rPr>
        <w:t>искачена</w:t>
      </w:r>
      <w:r w:rsidRPr="009C5D97">
        <w:rPr>
          <w:rFonts w:ascii="Times New Roman" w:hAnsi="Times New Roman"/>
          <w:color w:val="000000"/>
          <w:sz w:val="24"/>
          <w:szCs w:val="24"/>
        </w:rPr>
        <w:t xml:space="preserve"> на рекордно високо ниво. Постигнат е дополнителен напредок </w:t>
      </w:r>
      <w:r>
        <w:rPr>
          <w:rFonts w:ascii="Times New Roman" w:hAnsi="Times New Roman"/>
          <w:color w:val="000000"/>
          <w:sz w:val="24"/>
          <w:szCs w:val="24"/>
        </w:rPr>
        <w:t>во</w:t>
      </w:r>
      <w:r w:rsidRPr="009C5D97">
        <w:rPr>
          <w:rFonts w:ascii="Times New Roman" w:hAnsi="Times New Roman"/>
          <w:color w:val="000000"/>
          <w:sz w:val="24"/>
          <w:szCs w:val="24"/>
        </w:rPr>
        <w:t xml:space="preserve"> подобрување</w:t>
      </w:r>
      <w:r>
        <w:rPr>
          <w:rFonts w:ascii="Times New Roman" w:hAnsi="Times New Roman"/>
          <w:color w:val="000000"/>
          <w:sz w:val="24"/>
          <w:szCs w:val="24"/>
        </w:rPr>
        <w:t>то</w:t>
      </w:r>
      <w:r w:rsidRPr="009C5D97">
        <w:rPr>
          <w:rFonts w:ascii="Times New Roman" w:hAnsi="Times New Roman"/>
          <w:color w:val="000000"/>
          <w:sz w:val="24"/>
          <w:szCs w:val="24"/>
        </w:rPr>
        <w:t xml:space="preserve"> на стручното образование и обука, но останува големиот недостиг на вештини за задоволување на потребите на пазарот на труд, што </w:t>
      </w:r>
      <w:r w:rsidRPr="00382B0A">
        <w:rPr>
          <w:rFonts w:ascii="Times New Roman" w:hAnsi="Times New Roman"/>
          <w:color w:val="000000"/>
          <w:sz w:val="24"/>
          <w:szCs w:val="24"/>
        </w:rPr>
        <w:t>повлекува</w:t>
      </w:r>
      <w:r w:rsidRPr="009C5D97">
        <w:rPr>
          <w:rFonts w:ascii="Times New Roman" w:hAnsi="Times New Roman"/>
          <w:color w:val="000000"/>
          <w:sz w:val="24"/>
          <w:szCs w:val="24"/>
        </w:rPr>
        <w:t xml:space="preserve"> долга транзиција од училиште</w:t>
      </w:r>
      <w:r>
        <w:rPr>
          <w:rFonts w:ascii="Times New Roman" w:hAnsi="Times New Roman"/>
          <w:color w:val="000000"/>
          <w:sz w:val="24"/>
          <w:szCs w:val="24"/>
        </w:rPr>
        <w:t>то</w:t>
      </w:r>
      <w:r w:rsidRPr="009C5D97">
        <w:rPr>
          <w:rFonts w:ascii="Times New Roman" w:hAnsi="Times New Roman"/>
          <w:color w:val="000000"/>
          <w:sz w:val="24"/>
          <w:szCs w:val="24"/>
        </w:rPr>
        <w:t xml:space="preserve"> до работно</w:t>
      </w:r>
      <w:r>
        <w:rPr>
          <w:rFonts w:ascii="Times New Roman" w:hAnsi="Times New Roman"/>
          <w:color w:val="000000"/>
          <w:sz w:val="24"/>
          <w:szCs w:val="24"/>
        </w:rPr>
        <w:t>то</w:t>
      </w:r>
      <w:r w:rsidRPr="009C5D97">
        <w:rPr>
          <w:rFonts w:ascii="Times New Roman" w:hAnsi="Times New Roman"/>
          <w:color w:val="000000"/>
          <w:sz w:val="24"/>
          <w:szCs w:val="24"/>
        </w:rPr>
        <w:t xml:space="preserve"> место. Сето ова, заедно со големите недостатоци во транспортната и енергетската инфраструктура и слабите инвестиции и слабото финансирање на иновации, го ограничува потенцијалниот раст. Дигитализацијата на економијата напредува, но конкурентноста на домашните деловни субјекти може да се подобри со поширока понуда на јавни е-услуги.</w:t>
      </w:r>
      <w:r>
        <w:rPr>
          <w:rFonts w:ascii="Times New Roman" w:hAnsi="Times New Roman"/>
          <w:color w:val="000000"/>
          <w:sz w:val="24"/>
          <w:szCs w:val="24"/>
        </w:rPr>
        <w:t xml:space="preserve"> </w:t>
      </w:r>
    </w:p>
    <w:p w:rsidR="009768C4" w:rsidRPr="009C5D97"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 xml:space="preserve">Со оглед на тоа што препораките за 2022 година не се целосно спроведени и во најголем дел </w:t>
      </w:r>
      <w:r w:rsidRPr="00382B0A">
        <w:rPr>
          <w:rFonts w:ascii="Times New Roman" w:hAnsi="Times New Roman"/>
          <w:color w:val="000000"/>
          <w:sz w:val="24"/>
          <w:szCs w:val="24"/>
        </w:rPr>
        <w:t>остануваат во важност</w:t>
      </w:r>
      <w:r w:rsidRPr="009C5D97">
        <w:rPr>
          <w:rFonts w:ascii="Times New Roman" w:hAnsi="Times New Roman"/>
          <w:color w:val="000000"/>
          <w:sz w:val="24"/>
          <w:szCs w:val="24"/>
        </w:rPr>
        <w:t>, Северна Македонија особено треба:</w:t>
      </w:r>
    </w:p>
    <w:p w:rsidR="009768C4" w:rsidRPr="009C5D97"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w:t>
      </w:r>
      <w:r w:rsidRPr="009C5D97">
        <w:rPr>
          <w:rFonts w:ascii="Times New Roman" w:hAnsi="Times New Roman"/>
          <w:color w:val="000000"/>
          <w:sz w:val="24"/>
          <w:szCs w:val="24"/>
        </w:rPr>
        <w:tab/>
        <w:t xml:space="preserve">да донесе нов </w:t>
      </w:r>
      <w:r w:rsidRPr="00382B0A">
        <w:rPr>
          <w:rFonts w:ascii="Times New Roman" w:hAnsi="Times New Roman"/>
          <w:color w:val="000000"/>
          <w:sz w:val="24"/>
          <w:szCs w:val="24"/>
        </w:rPr>
        <w:t>З</w:t>
      </w:r>
      <w:r w:rsidRPr="009C5D97">
        <w:rPr>
          <w:rFonts w:ascii="Times New Roman" w:hAnsi="Times New Roman"/>
          <w:color w:val="000000"/>
          <w:sz w:val="24"/>
          <w:szCs w:val="24"/>
        </w:rPr>
        <w:t xml:space="preserve">акон за стручно образование и обука, </w:t>
      </w:r>
      <w:r w:rsidRPr="00382B0A">
        <w:rPr>
          <w:rFonts w:ascii="Times New Roman" w:hAnsi="Times New Roman"/>
          <w:color w:val="000000"/>
          <w:sz w:val="24"/>
          <w:szCs w:val="24"/>
        </w:rPr>
        <w:t>З</w:t>
      </w:r>
      <w:r w:rsidRPr="009C5D97">
        <w:rPr>
          <w:rFonts w:ascii="Times New Roman" w:hAnsi="Times New Roman"/>
          <w:color w:val="000000"/>
          <w:sz w:val="24"/>
          <w:szCs w:val="24"/>
        </w:rPr>
        <w:t xml:space="preserve">акон за средно образование и </w:t>
      </w:r>
      <w:r w:rsidRPr="00382B0A">
        <w:rPr>
          <w:rFonts w:ascii="Times New Roman" w:hAnsi="Times New Roman"/>
          <w:color w:val="000000"/>
          <w:sz w:val="24"/>
          <w:szCs w:val="24"/>
        </w:rPr>
        <w:t>З</w:t>
      </w:r>
      <w:r w:rsidRPr="009C5D97">
        <w:rPr>
          <w:rFonts w:ascii="Times New Roman" w:hAnsi="Times New Roman"/>
          <w:color w:val="000000"/>
          <w:sz w:val="24"/>
          <w:szCs w:val="24"/>
        </w:rPr>
        <w:t xml:space="preserve">акон за образование на возрасни и да ги зголеми финансиските и човечките ресурси за да ги забрза реформите </w:t>
      </w:r>
      <w:r w:rsidRPr="00382B0A">
        <w:rPr>
          <w:rFonts w:ascii="Times New Roman" w:hAnsi="Times New Roman"/>
          <w:color w:val="000000"/>
          <w:sz w:val="24"/>
          <w:szCs w:val="24"/>
        </w:rPr>
        <w:t>на</w:t>
      </w:r>
      <w:r w:rsidRPr="009C5D97">
        <w:rPr>
          <w:rFonts w:ascii="Times New Roman" w:hAnsi="Times New Roman"/>
          <w:color w:val="000000"/>
          <w:sz w:val="24"/>
          <w:szCs w:val="24"/>
        </w:rPr>
        <w:t xml:space="preserve"> системот за стручно образование и обука;</w:t>
      </w:r>
    </w:p>
    <w:p w:rsidR="009768C4" w:rsidRPr="009C5D97"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w:t>
      </w:r>
      <w:r w:rsidRPr="009C5D97">
        <w:rPr>
          <w:rFonts w:ascii="Times New Roman" w:hAnsi="Times New Roman"/>
          <w:color w:val="000000"/>
          <w:sz w:val="24"/>
          <w:szCs w:val="24"/>
        </w:rPr>
        <w:tab/>
        <w:t>да г</w:t>
      </w:r>
      <w:r>
        <w:rPr>
          <w:rFonts w:ascii="Times New Roman" w:hAnsi="Times New Roman"/>
          <w:color w:val="000000"/>
          <w:sz w:val="24"/>
          <w:szCs w:val="24"/>
        </w:rPr>
        <w:t>о</w:t>
      </w:r>
      <w:r w:rsidRPr="009C5D97">
        <w:rPr>
          <w:rFonts w:ascii="Times New Roman" w:hAnsi="Times New Roman"/>
          <w:color w:val="000000"/>
          <w:sz w:val="24"/>
          <w:szCs w:val="24"/>
        </w:rPr>
        <w:t xml:space="preserve"> заврши одвојувањето на системите за пренос на гас, да ги зголеми инвестициите во нови извори на енергија и да го зајакне административниот капацитет во Секторот за енергетика при Министерството за економија и на Агенцијата за енергетика;</w:t>
      </w:r>
    </w:p>
    <w:p w:rsidR="009768C4" w:rsidRPr="009C5D97"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w:t>
      </w:r>
      <w:r w:rsidRPr="009C5D97">
        <w:rPr>
          <w:rFonts w:ascii="Times New Roman" w:hAnsi="Times New Roman"/>
          <w:color w:val="000000"/>
          <w:sz w:val="24"/>
          <w:szCs w:val="24"/>
        </w:rPr>
        <w:tab/>
        <w:t>да донесе секундарно законодавство според Законот за енергетска ефикасност и да го операционализира фондот за енергетска ефикасност; да г</w:t>
      </w:r>
      <w:r>
        <w:rPr>
          <w:rFonts w:ascii="Times New Roman" w:hAnsi="Times New Roman"/>
          <w:color w:val="000000"/>
          <w:sz w:val="24"/>
          <w:szCs w:val="24"/>
        </w:rPr>
        <w:t>и</w:t>
      </w:r>
      <w:r w:rsidRPr="009C5D97">
        <w:rPr>
          <w:rFonts w:ascii="Times New Roman" w:hAnsi="Times New Roman"/>
          <w:color w:val="000000"/>
          <w:sz w:val="24"/>
          <w:szCs w:val="24"/>
        </w:rPr>
        <w:t xml:space="preserve"> донесе </w:t>
      </w:r>
      <w:r w:rsidRPr="00382B0A">
        <w:rPr>
          <w:rFonts w:ascii="Times New Roman" w:hAnsi="Times New Roman"/>
          <w:color w:val="000000"/>
          <w:sz w:val="24"/>
          <w:szCs w:val="24"/>
        </w:rPr>
        <w:t>З</w:t>
      </w:r>
      <w:r w:rsidRPr="009C5D97">
        <w:rPr>
          <w:rFonts w:ascii="Times New Roman" w:hAnsi="Times New Roman"/>
          <w:color w:val="000000"/>
          <w:sz w:val="24"/>
          <w:szCs w:val="24"/>
        </w:rPr>
        <w:t xml:space="preserve">аконот за биогорива и енергетска ефикасност, стратегијата за обнова на градби; и да воспостави шема за гаранција за потекло на обновлива енергија. </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color w:val="000000"/>
          <w:sz w:val="24"/>
          <w:szCs w:val="24"/>
          <w:u w:val="single"/>
        </w:rPr>
        <w:t>Образование и иновации</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b/>
          <w:bCs/>
          <w:color w:val="000000"/>
          <w:sz w:val="24"/>
          <w:szCs w:val="24"/>
        </w:rPr>
        <w:t xml:space="preserve">Напредокот во реформата на наставните програми и намалувањето на неусогласеноста на вештините со работните места е попречен поради недоволно финансирање и капацитет. </w:t>
      </w:r>
      <w:r w:rsidRPr="009C5D97">
        <w:rPr>
          <w:rFonts w:ascii="Times New Roman" w:hAnsi="Times New Roman"/>
          <w:color w:val="000000"/>
          <w:sz w:val="24"/>
          <w:szCs w:val="24"/>
        </w:rPr>
        <w:t xml:space="preserve">Иако Северна Македонија </w:t>
      </w:r>
      <w:r>
        <w:rPr>
          <w:rFonts w:ascii="Times New Roman" w:hAnsi="Times New Roman"/>
          <w:color w:val="000000"/>
          <w:sz w:val="24"/>
          <w:szCs w:val="24"/>
        </w:rPr>
        <w:t xml:space="preserve">добро </w:t>
      </w:r>
      <w:r w:rsidRPr="009C5D97">
        <w:rPr>
          <w:rFonts w:ascii="Times New Roman" w:hAnsi="Times New Roman"/>
          <w:color w:val="000000"/>
          <w:sz w:val="24"/>
          <w:szCs w:val="24"/>
        </w:rPr>
        <w:t xml:space="preserve">напредува во однос на бројот </w:t>
      </w:r>
      <w:r>
        <w:rPr>
          <w:rFonts w:ascii="Times New Roman" w:hAnsi="Times New Roman"/>
          <w:color w:val="000000"/>
          <w:sz w:val="24"/>
          <w:szCs w:val="24"/>
        </w:rPr>
        <w:t xml:space="preserve">на </w:t>
      </w:r>
      <w:r w:rsidRPr="009C5D97">
        <w:rPr>
          <w:rFonts w:ascii="Times New Roman" w:hAnsi="Times New Roman"/>
          <w:color w:val="000000"/>
          <w:sz w:val="24"/>
          <w:szCs w:val="24"/>
        </w:rPr>
        <w:t>лица со квалификации со високо образование, наставните програми не се добро приспособени за оспособување на дипломираните студенти со вештини за да одговорат на побарувачката за работна сила. Државната финансиска поддршка за образование</w:t>
      </w:r>
      <w:r w:rsidRPr="009C5D97">
        <w:rPr>
          <w:rFonts w:ascii="Times New Roman" w:hAnsi="Times New Roman"/>
          <w:sz w:val="24"/>
          <w:szCs w:val="24"/>
        </w:rPr>
        <w:t xml:space="preserve"> </w:t>
      </w:r>
      <w:r w:rsidRPr="009C5D97">
        <w:rPr>
          <w:rFonts w:ascii="Times New Roman" w:hAnsi="Times New Roman"/>
          <w:color w:val="000000"/>
          <w:sz w:val="24"/>
          <w:szCs w:val="24"/>
        </w:rPr>
        <w:t>е недоволна, а координацијата меѓу образовниот сектор и деловните сектори е слаба. Во 2022 година јавните расходи за образование и обука изнесува</w:t>
      </w:r>
      <w:r>
        <w:rPr>
          <w:rFonts w:ascii="Times New Roman" w:hAnsi="Times New Roman"/>
          <w:color w:val="000000"/>
          <w:sz w:val="24"/>
          <w:szCs w:val="24"/>
        </w:rPr>
        <w:t>ле</w:t>
      </w:r>
      <w:r w:rsidRPr="009C5D97">
        <w:rPr>
          <w:rFonts w:ascii="Times New Roman" w:hAnsi="Times New Roman"/>
          <w:color w:val="000000"/>
          <w:sz w:val="24"/>
          <w:szCs w:val="24"/>
        </w:rPr>
        <w:t xml:space="preserve"> 3,7</w:t>
      </w:r>
      <w:r>
        <w:rPr>
          <w:rFonts w:ascii="Times New Roman" w:hAnsi="Times New Roman"/>
          <w:color w:val="000000"/>
          <w:sz w:val="24"/>
          <w:szCs w:val="24"/>
        </w:rPr>
        <w:t xml:space="preserve"> </w:t>
      </w:r>
      <w:r w:rsidRPr="009C5D97">
        <w:rPr>
          <w:rFonts w:ascii="Times New Roman" w:hAnsi="Times New Roman"/>
          <w:color w:val="000000"/>
          <w:sz w:val="24"/>
          <w:szCs w:val="24"/>
        </w:rPr>
        <w:t xml:space="preserve">% од БДП, </w:t>
      </w:r>
      <w:r>
        <w:rPr>
          <w:rFonts w:ascii="Times New Roman" w:hAnsi="Times New Roman"/>
          <w:color w:val="000000"/>
          <w:sz w:val="24"/>
          <w:szCs w:val="24"/>
        </w:rPr>
        <w:t>слично со</w:t>
      </w:r>
      <w:r w:rsidRPr="009C5D97">
        <w:rPr>
          <w:rFonts w:ascii="Times New Roman" w:hAnsi="Times New Roman"/>
          <w:color w:val="000000"/>
          <w:sz w:val="24"/>
          <w:szCs w:val="24"/>
        </w:rPr>
        <w:t xml:space="preserve"> просекот на претходните пет години. Тоа е под просекот и на ЕУ (5%) и </w:t>
      </w:r>
      <w:r>
        <w:rPr>
          <w:rFonts w:ascii="Times New Roman" w:hAnsi="Times New Roman"/>
          <w:color w:val="000000"/>
          <w:sz w:val="24"/>
          <w:szCs w:val="24"/>
        </w:rPr>
        <w:t>под</w:t>
      </w:r>
      <w:r w:rsidRPr="009C5D97">
        <w:rPr>
          <w:rFonts w:ascii="Times New Roman" w:hAnsi="Times New Roman"/>
          <w:color w:val="000000"/>
          <w:sz w:val="24"/>
          <w:szCs w:val="24"/>
        </w:rPr>
        <w:t xml:space="preserve"> просеците на </w:t>
      </w:r>
      <w:r>
        <w:rPr>
          <w:rFonts w:ascii="Times New Roman" w:hAnsi="Times New Roman"/>
          <w:color w:val="000000"/>
          <w:sz w:val="24"/>
          <w:szCs w:val="24"/>
        </w:rPr>
        <w:t>споредбените</w:t>
      </w:r>
      <w:r w:rsidRPr="009C5D97">
        <w:rPr>
          <w:rFonts w:ascii="Times New Roman" w:hAnsi="Times New Roman"/>
          <w:color w:val="000000"/>
          <w:sz w:val="24"/>
          <w:szCs w:val="24"/>
        </w:rPr>
        <w:t xml:space="preserve"> земји и го </w:t>
      </w:r>
      <w:r>
        <w:rPr>
          <w:rFonts w:ascii="Times New Roman" w:hAnsi="Times New Roman"/>
          <w:color w:val="000000"/>
          <w:sz w:val="24"/>
          <w:szCs w:val="24"/>
        </w:rPr>
        <w:t>по</w:t>
      </w:r>
      <w:r w:rsidRPr="009C5D97">
        <w:rPr>
          <w:rFonts w:ascii="Times New Roman" w:hAnsi="Times New Roman"/>
          <w:color w:val="000000"/>
          <w:sz w:val="24"/>
          <w:szCs w:val="24"/>
        </w:rPr>
        <w:t xml:space="preserve">пречува спроведувањето на </w:t>
      </w:r>
      <w:r>
        <w:rPr>
          <w:rFonts w:ascii="Times New Roman" w:hAnsi="Times New Roman"/>
          <w:color w:val="000000"/>
          <w:sz w:val="24"/>
          <w:szCs w:val="24"/>
        </w:rPr>
        <w:t>С</w:t>
      </w:r>
      <w:r w:rsidRPr="009C5D97">
        <w:rPr>
          <w:rFonts w:ascii="Times New Roman" w:hAnsi="Times New Roman"/>
          <w:color w:val="000000"/>
          <w:sz w:val="24"/>
          <w:szCs w:val="24"/>
        </w:rPr>
        <w:t>тратегијата за образование 2018-2025. Понатаму, трошењето е неефикасно, главно поради застарените формули за прераспределба на јавните средства за образование од општините. Има</w:t>
      </w:r>
      <w:r>
        <w:rPr>
          <w:rFonts w:ascii="Times New Roman" w:hAnsi="Times New Roman"/>
          <w:color w:val="000000"/>
          <w:sz w:val="24"/>
          <w:szCs w:val="24"/>
        </w:rPr>
        <w:t>ло</w:t>
      </w:r>
      <w:r w:rsidRPr="009C5D97">
        <w:rPr>
          <w:rFonts w:ascii="Times New Roman" w:hAnsi="Times New Roman"/>
          <w:color w:val="000000"/>
          <w:sz w:val="24"/>
          <w:szCs w:val="24"/>
        </w:rPr>
        <w:t xml:space="preserve"> значителни подобрувања во рангирањето на ПИСА од 2018 година</w:t>
      </w:r>
      <w:r w:rsidRPr="009C5D97">
        <w:rPr>
          <w:rStyle w:val="FootnoteReference"/>
          <w:rFonts w:ascii="Times New Roman" w:hAnsi="Times New Roman"/>
          <w:color w:val="000000"/>
          <w:sz w:val="24"/>
          <w:szCs w:val="24"/>
        </w:rPr>
        <w:footnoteReference w:id="15"/>
      </w:r>
      <w:r w:rsidRPr="009C5D97">
        <w:rPr>
          <w:rFonts w:ascii="Times New Roman" w:hAnsi="Times New Roman"/>
          <w:color w:val="000000"/>
          <w:sz w:val="24"/>
          <w:szCs w:val="24"/>
        </w:rPr>
        <w:t xml:space="preserve">, во споредба со 2015 година, но земјата сè уште е рангирана во најнискиот квартил. Наставните програми за стручно образование и обука се во фаза на ревизија од 2019 година за да се усогласат со потребите на пазарот на трудот. Сепак, Владата сѐ уште не донесе нов </w:t>
      </w:r>
      <w:r w:rsidRPr="00382B0A">
        <w:rPr>
          <w:rFonts w:ascii="Times New Roman" w:hAnsi="Times New Roman"/>
          <w:color w:val="000000"/>
          <w:sz w:val="24"/>
          <w:szCs w:val="24"/>
        </w:rPr>
        <w:t>З</w:t>
      </w:r>
      <w:r w:rsidRPr="009C5D97">
        <w:rPr>
          <w:rFonts w:ascii="Times New Roman" w:hAnsi="Times New Roman"/>
          <w:color w:val="000000"/>
          <w:sz w:val="24"/>
          <w:szCs w:val="24"/>
        </w:rPr>
        <w:t xml:space="preserve">акон за стручно образование и обука со фокус на инклузијата, на потребите на пазарот на трудот и на новата методологија за финансирање на стручното образование и обука. </w:t>
      </w:r>
      <w:r>
        <w:rPr>
          <w:rFonts w:ascii="Times New Roman" w:hAnsi="Times New Roman"/>
          <w:color w:val="000000"/>
          <w:sz w:val="24"/>
          <w:szCs w:val="24"/>
        </w:rPr>
        <w:t>С</w:t>
      </w:r>
      <w:r w:rsidRPr="009C5D97">
        <w:rPr>
          <w:rFonts w:ascii="Times New Roman" w:hAnsi="Times New Roman"/>
          <w:color w:val="000000"/>
          <w:sz w:val="24"/>
          <w:szCs w:val="24"/>
        </w:rPr>
        <w:t xml:space="preserve">ѐ уште не е објавен </w:t>
      </w:r>
      <w:r w:rsidRPr="00382B0A">
        <w:rPr>
          <w:rFonts w:ascii="Times New Roman" w:hAnsi="Times New Roman"/>
          <w:color w:val="000000"/>
          <w:sz w:val="24"/>
          <w:szCs w:val="24"/>
        </w:rPr>
        <w:t>предвидениот</w:t>
      </w:r>
      <w:r w:rsidRPr="009C5D97">
        <w:rPr>
          <w:rFonts w:ascii="Times New Roman" w:hAnsi="Times New Roman"/>
          <w:color w:val="000000"/>
          <w:sz w:val="24"/>
          <w:szCs w:val="24"/>
        </w:rPr>
        <w:t xml:space="preserve"> годишен извештај за спроведувањето на </w:t>
      </w:r>
      <w:r>
        <w:rPr>
          <w:rFonts w:ascii="Times New Roman" w:hAnsi="Times New Roman"/>
          <w:color w:val="000000"/>
          <w:sz w:val="24"/>
          <w:szCs w:val="24"/>
        </w:rPr>
        <w:t>С</w:t>
      </w:r>
      <w:r w:rsidRPr="009C5D97">
        <w:rPr>
          <w:rFonts w:ascii="Times New Roman" w:hAnsi="Times New Roman"/>
          <w:color w:val="000000"/>
          <w:sz w:val="24"/>
          <w:szCs w:val="24"/>
        </w:rPr>
        <w:t xml:space="preserve">тратегијата за образование што треба да </w:t>
      </w:r>
      <w:r w:rsidRPr="00382B0A">
        <w:rPr>
          <w:rFonts w:ascii="Times New Roman" w:hAnsi="Times New Roman"/>
          <w:color w:val="000000"/>
          <w:sz w:val="24"/>
          <w:szCs w:val="24"/>
        </w:rPr>
        <w:t xml:space="preserve">вклучува препораки за </w:t>
      </w:r>
      <w:r>
        <w:rPr>
          <w:rFonts w:ascii="Times New Roman" w:hAnsi="Times New Roman"/>
          <w:color w:val="000000"/>
          <w:sz w:val="24"/>
          <w:szCs w:val="24"/>
        </w:rPr>
        <w:t>н</w:t>
      </w:r>
      <w:r w:rsidRPr="00382B0A">
        <w:rPr>
          <w:rFonts w:ascii="Times New Roman" w:hAnsi="Times New Roman"/>
          <w:color w:val="000000"/>
          <w:sz w:val="24"/>
          <w:szCs w:val="24"/>
        </w:rPr>
        <w:t>ова формула за</w:t>
      </w:r>
      <w:r w:rsidRPr="009C5D97">
        <w:rPr>
          <w:rFonts w:ascii="Times New Roman" w:hAnsi="Times New Roman"/>
          <w:color w:val="000000"/>
          <w:sz w:val="24"/>
          <w:szCs w:val="24"/>
        </w:rPr>
        <w:t xml:space="preserve"> финансирање на високото образование. Процентот на возрасни што учествуваат во учењето бил 2,6</w:t>
      </w:r>
      <w:r>
        <w:rPr>
          <w:rFonts w:ascii="Times New Roman" w:hAnsi="Times New Roman"/>
          <w:color w:val="000000"/>
          <w:sz w:val="24"/>
          <w:szCs w:val="24"/>
        </w:rPr>
        <w:t xml:space="preserve"> </w:t>
      </w:r>
      <w:r w:rsidRPr="009C5D97">
        <w:rPr>
          <w:rFonts w:ascii="Times New Roman" w:hAnsi="Times New Roman"/>
          <w:color w:val="000000"/>
          <w:sz w:val="24"/>
          <w:szCs w:val="24"/>
        </w:rPr>
        <w:t>% во 2020 година што е значително под просекот на ЕУ-17 од 10,8</w:t>
      </w:r>
      <w:r>
        <w:rPr>
          <w:rFonts w:ascii="Times New Roman" w:hAnsi="Times New Roman"/>
          <w:color w:val="000000"/>
          <w:sz w:val="24"/>
          <w:szCs w:val="24"/>
        </w:rPr>
        <w:t xml:space="preserve"> </w:t>
      </w:r>
      <w:r w:rsidRPr="009C5D97">
        <w:rPr>
          <w:rFonts w:ascii="Times New Roman" w:hAnsi="Times New Roman"/>
          <w:color w:val="000000"/>
          <w:sz w:val="24"/>
          <w:szCs w:val="24"/>
        </w:rPr>
        <w:t xml:space="preserve">% (2021 година). Натамошниот развој на квалификациите е клучен за </w:t>
      </w:r>
      <w:r>
        <w:rPr>
          <w:rFonts w:ascii="Times New Roman" w:hAnsi="Times New Roman"/>
          <w:color w:val="000000"/>
          <w:sz w:val="24"/>
          <w:szCs w:val="24"/>
        </w:rPr>
        <w:t>вклучување</w:t>
      </w:r>
      <w:r w:rsidRPr="009C5D97">
        <w:rPr>
          <w:rFonts w:ascii="Times New Roman" w:hAnsi="Times New Roman"/>
          <w:color w:val="000000"/>
          <w:sz w:val="24"/>
          <w:szCs w:val="24"/>
        </w:rPr>
        <w:t xml:space="preserve"> </w:t>
      </w:r>
      <w:r>
        <w:rPr>
          <w:rFonts w:ascii="Times New Roman" w:hAnsi="Times New Roman"/>
          <w:color w:val="000000"/>
          <w:sz w:val="24"/>
          <w:szCs w:val="24"/>
        </w:rPr>
        <w:t xml:space="preserve">на </w:t>
      </w:r>
      <w:r w:rsidRPr="009C5D97">
        <w:rPr>
          <w:rFonts w:ascii="Times New Roman" w:hAnsi="Times New Roman"/>
          <w:color w:val="000000"/>
          <w:sz w:val="24"/>
          <w:szCs w:val="24"/>
        </w:rPr>
        <w:t>лица</w:t>
      </w:r>
      <w:r>
        <w:rPr>
          <w:rFonts w:ascii="Times New Roman" w:hAnsi="Times New Roman"/>
          <w:color w:val="000000"/>
          <w:sz w:val="24"/>
          <w:szCs w:val="24"/>
        </w:rPr>
        <w:t>та</w:t>
      </w:r>
      <w:r w:rsidRPr="009C5D97">
        <w:rPr>
          <w:rFonts w:ascii="Times New Roman" w:hAnsi="Times New Roman"/>
          <w:color w:val="000000"/>
          <w:sz w:val="24"/>
          <w:szCs w:val="24"/>
        </w:rPr>
        <w:t xml:space="preserve"> со средни и ниски квалификации </w:t>
      </w:r>
      <w:r>
        <w:rPr>
          <w:rFonts w:ascii="Times New Roman" w:hAnsi="Times New Roman"/>
          <w:color w:val="000000"/>
          <w:sz w:val="24"/>
          <w:szCs w:val="24"/>
        </w:rPr>
        <w:t>на</w:t>
      </w:r>
      <w:r w:rsidRPr="009C5D97">
        <w:rPr>
          <w:rFonts w:ascii="Times New Roman" w:hAnsi="Times New Roman"/>
          <w:color w:val="000000"/>
          <w:sz w:val="24"/>
          <w:szCs w:val="24"/>
        </w:rPr>
        <w:t xml:space="preserve"> пазарот на трудот.</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b/>
          <w:bCs/>
          <w:color w:val="000000"/>
          <w:sz w:val="24"/>
          <w:szCs w:val="24"/>
        </w:rPr>
        <w:t xml:space="preserve">Иновациската дејност останува главно ниска. </w:t>
      </w:r>
      <w:r w:rsidRPr="009C5D97">
        <w:rPr>
          <w:rFonts w:ascii="Times New Roman" w:hAnsi="Times New Roman"/>
          <w:color w:val="000000"/>
          <w:sz w:val="24"/>
          <w:szCs w:val="24"/>
        </w:rPr>
        <w:t>Со 0,4</w:t>
      </w:r>
      <w:r>
        <w:rPr>
          <w:rFonts w:ascii="Times New Roman" w:hAnsi="Times New Roman"/>
          <w:color w:val="000000"/>
          <w:sz w:val="24"/>
          <w:szCs w:val="24"/>
        </w:rPr>
        <w:t xml:space="preserve"> </w:t>
      </w:r>
      <w:r w:rsidRPr="009C5D97">
        <w:rPr>
          <w:rFonts w:ascii="Times New Roman" w:hAnsi="Times New Roman"/>
          <w:color w:val="000000"/>
          <w:sz w:val="24"/>
          <w:szCs w:val="24"/>
        </w:rPr>
        <w:t xml:space="preserve">% од БДП (вклучително и мал процент од приватниот сектор) расходите на економијата за истражување и иновации </w:t>
      </w:r>
      <w:r w:rsidRPr="00382B0A">
        <w:rPr>
          <w:rFonts w:ascii="Times New Roman" w:hAnsi="Times New Roman"/>
          <w:color w:val="000000"/>
          <w:sz w:val="24"/>
          <w:szCs w:val="24"/>
        </w:rPr>
        <w:t>остануваат</w:t>
      </w:r>
      <w:r w:rsidRPr="009C5D97">
        <w:rPr>
          <w:rFonts w:ascii="Times New Roman" w:hAnsi="Times New Roman"/>
          <w:color w:val="000000"/>
          <w:sz w:val="24"/>
          <w:szCs w:val="24"/>
        </w:rPr>
        <w:t xml:space="preserve"> значително под просекот на ЕУ. Учеството на приватниот сектор во вкупните трошоци за истражување </w:t>
      </w:r>
      <w:r>
        <w:rPr>
          <w:rFonts w:ascii="Times New Roman" w:hAnsi="Times New Roman"/>
          <w:color w:val="000000"/>
          <w:sz w:val="24"/>
          <w:szCs w:val="24"/>
        </w:rPr>
        <w:t>сè уште</w:t>
      </w:r>
      <w:r w:rsidRPr="00382B0A">
        <w:rPr>
          <w:rFonts w:ascii="Times New Roman" w:hAnsi="Times New Roman"/>
          <w:color w:val="000000"/>
          <w:sz w:val="24"/>
          <w:szCs w:val="24"/>
        </w:rPr>
        <w:t xml:space="preserve"> </w:t>
      </w:r>
      <w:r>
        <w:rPr>
          <w:rFonts w:ascii="Times New Roman" w:hAnsi="Times New Roman"/>
          <w:color w:val="000000"/>
          <w:sz w:val="24"/>
          <w:szCs w:val="24"/>
        </w:rPr>
        <w:t>е исклучително</w:t>
      </w:r>
      <w:r w:rsidRPr="00382B0A">
        <w:rPr>
          <w:rFonts w:ascii="Times New Roman" w:hAnsi="Times New Roman"/>
          <w:color w:val="000000"/>
          <w:sz w:val="24"/>
          <w:szCs w:val="24"/>
        </w:rPr>
        <w:t xml:space="preserve"> слабо</w:t>
      </w:r>
      <w:r w:rsidRPr="009C5D97">
        <w:rPr>
          <w:rFonts w:ascii="Times New Roman" w:hAnsi="Times New Roman"/>
          <w:color w:val="000000"/>
          <w:sz w:val="24"/>
          <w:szCs w:val="24"/>
        </w:rPr>
        <w:t xml:space="preserve"> и изнесува 0,1</w:t>
      </w:r>
      <w:r>
        <w:rPr>
          <w:rFonts w:ascii="Times New Roman" w:hAnsi="Times New Roman"/>
          <w:color w:val="000000"/>
          <w:sz w:val="24"/>
          <w:szCs w:val="24"/>
        </w:rPr>
        <w:t xml:space="preserve"> </w:t>
      </w:r>
      <w:r w:rsidRPr="009C5D97">
        <w:rPr>
          <w:rFonts w:ascii="Times New Roman" w:hAnsi="Times New Roman"/>
          <w:color w:val="000000"/>
          <w:sz w:val="24"/>
          <w:szCs w:val="24"/>
        </w:rPr>
        <w:t>% од БДП. Се зголеми</w:t>
      </w:r>
      <w:r>
        <w:rPr>
          <w:rFonts w:ascii="Times New Roman" w:hAnsi="Times New Roman"/>
          <w:color w:val="000000"/>
          <w:sz w:val="24"/>
          <w:szCs w:val="24"/>
        </w:rPr>
        <w:t>ле</w:t>
      </w:r>
      <w:r w:rsidRPr="009C5D97">
        <w:rPr>
          <w:rFonts w:ascii="Times New Roman" w:hAnsi="Times New Roman"/>
          <w:color w:val="000000"/>
          <w:sz w:val="24"/>
          <w:szCs w:val="24"/>
        </w:rPr>
        <w:t xml:space="preserve"> распределбите во Фондот за иновации и технолошки развој и неговите програми, но нивната ефективност, дизајн и методологија би имале корист од независна процена. Врските меѓу бизнисите и другите вклучени во иновациите се многу слаби. За да се надмине недост</w:t>
      </w:r>
      <w:r>
        <w:rPr>
          <w:rFonts w:ascii="Times New Roman" w:hAnsi="Times New Roman"/>
          <w:color w:val="000000"/>
          <w:sz w:val="24"/>
          <w:szCs w:val="24"/>
        </w:rPr>
        <w:t>игот</w:t>
      </w:r>
      <w:r w:rsidRPr="009C5D97">
        <w:rPr>
          <w:rFonts w:ascii="Times New Roman" w:hAnsi="Times New Roman"/>
          <w:color w:val="000000"/>
          <w:sz w:val="24"/>
          <w:szCs w:val="24"/>
        </w:rPr>
        <w:t xml:space="preserve"> од стратешка насока кон иновациите, треба допрва да се донесе стратегија за паметна специјализација и да се развијат мерки за спроведување.</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color w:val="000000"/>
          <w:sz w:val="24"/>
          <w:szCs w:val="24"/>
          <w:u w:val="single"/>
        </w:rPr>
        <w:t>Физички капитал и квалитет на инфраструктурата</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b/>
          <w:bCs/>
          <w:color w:val="000000"/>
          <w:sz w:val="24"/>
          <w:szCs w:val="24"/>
        </w:rPr>
        <w:t xml:space="preserve">Инвестициските трошоци остануваат умерени и покрај големата потреба од зголемување на физичкиот капитал. </w:t>
      </w:r>
      <w:r w:rsidRPr="009C5D97">
        <w:rPr>
          <w:rFonts w:ascii="Times New Roman" w:hAnsi="Times New Roman"/>
          <w:color w:val="000000"/>
          <w:sz w:val="24"/>
          <w:szCs w:val="24"/>
        </w:rPr>
        <w:t>Бруто-инвестициите (вклучително и резервите) се зголем</w:t>
      </w:r>
      <w:r>
        <w:rPr>
          <w:rFonts w:ascii="Times New Roman" w:hAnsi="Times New Roman"/>
          <w:color w:val="000000"/>
          <w:sz w:val="24"/>
          <w:szCs w:val="24"/>
        </w:rPr>
        <w:t>ени</w:t>
      </w:r>
      <w:r w:rsidRPr="009C5D97">
        <w:rPr>
          <w:rFonts w:ascii="Times New Roman" w:hAnsi="Times New Roman"/>
          <w:color w:val="000000"/>
          <w:sz w:val="24"/>
          <w:szCs w:val="24"/>
        </w:rPr>
        <w:t xml:space="preserve"> на 35</w:t>
      </w:r>
      <w:r>
        <w:rPr>
          <w:rFonts w:ascii="Times New Roman" w:hAnsi="Times New Roman"/>
          <w:color w:val="000000"/>
          <w:sz w:val="24"/>
          <w:szCs w:val="24"/>
        </w:rPr>
        <w:t xml:space="preserve"> </w:t>
      </w:r>
      <w:r w:rsidRPr="009C5D97">
        <w:rPr>
          <w:rFonts w:ascii="Times New Roman" w:hAnsi="Times New Roman"/>
          <w:color w:val="000000"/>
          <w:sz w:val="24"/>
          <w:szCs w:val="24"/>
        </w:rPr>
        <w:t xml:space="preserve">% од БДП во 2022 година (+1,8 пп на годишна основа), надминувајќи го </w:t>
      </w:r>
      <w:r w:rsidRPr="00382B0A">
        <w:rPr>
          <w:rFonts w:ascii="Times New Roman" w:hAnsi="Times New Roman"/>
          <w:color w:val="000000"/>
          <w:sz w:val="24"/>
          <w:szCs w:val="24"/>
        </w:rPr>
        <w:t>своето</w:t>
      </w:r>
      <w:r w:rsidRPr="009C5D97">
        <w:rPr>
          <w:rFonts w:ascii="Times New Roman" w:hAnsi="Times New Roman"/>
          <w:color w:val="000000"/>
          <w:sz w:val="24"/>
          <w:szCs w:val="24"/>
        </w:rPr>
        <w:t xml:space="preserve"> ниво пред КОВИД-19 (2019 година: 34,5%). Бруто-инвестициите во основни средства (формирање бруто</w:t>
      </w:r>
      <w:r>
        <w:rPr>
          <w:rFonts w:ascii="Times New Roman" w:hAnsi="Times New Roman"/>
          <w:color w:val="000000"/>
          <w:sz w:val="24"/>
          <w:szCs w:val="24"/>
        </w:rPr>
        <w:t>-</w:t>
      </w:r>
      <w:r w:rsidRPr="009C5D97">
        <w:rPr>
          <w:rFonts w:ascii="Times New Roman" w:hAnsi="Times New Roman"/>
          <w:color w:val="000000"/>
          <w:sz w:val="24"/>
          <w:szCs w:val="24"/>
        </w:rPr>
        <w:t>фиксен капитал) постојано се зголемува</w:t>
      </w:r>
      <w:r>
        <w:rPr>
          <w:rFonts w:ascii="Times New Roman" w:hAnsi="Times New Roman"/>
          <w:color w:val="000000"/>
          <w:sz w:val="24"/>
          <w:szCs w:val="24"/>
        </w:rPr>
        <w:t>ле</w:t>
      </w:r>
      <w:r w:rsidRPr="009C5D97">
        <w:rPr>
          <w:rFonts w:ascii="Times New Roman" w:hAnsi="Times New Roman"/>
          <w:color w:val="000000"/>
          <w:sz w:val="24"/>
          <w:szCs w:val="24"/>
        </w:rPr>
        <w:t xml:space="preserve"> пет години</w:t>
      </w:r>
      <w:r>
        <w:rPr>
          <w:rFonts w:ascii="Times New Roman" w:hAnsi="Times New Roman"/>
          <w:color w:val="000000"/>
          <w:sz w:val="24"/>
          <w:szCs w:val="24"/>
        </w:rPr>
        <w:t>,</w:t>
      </w:r>
      <w:r w:rsidRPr="009C5D97">
        <w:rPr>
          <w:rFonts w:ascii="Times New Roman" w:hAnsi="Times New Roman"/>
          <w:color w:val="000000"/>
          <w:sz w:val="24"/>
          <w:szCs w:val="24"/>
        </w:rPr>
        <w:t xml:space="preserve"> до 2021 година (најнови податоци), кога достигна</w:t>
      </w:r>
      <w:r>
        <w:rPr>
          <w:rFonts w:ascii="Times New Roman" w:hAnsi="Times New Roman"/>
          <w:color w:val="000000"/>
          <w:sz w:val="24"/>
          <w:szCs w:val="24"/>
        </w:rPr>
        <w:t>ле</w:t>
      </w:r>
      <w:r w:rsidRPr="009C5D97">
        <w:rPr>
          <w:rFonts w:ascii="Times New Roman" w:hAnsi="Times New Roman"/>
          <w:color w:val="000000"/>
          <w:sz w:val="24"/>
          <w:szCs w:val="24"/>
        </w:rPr>
        <w:t xml:space="preserve"> 22,5%. Ова е над просекот од 21,9% во претходните </w:t>
      </w:r>
      <w:r>
        <w:rPr>
          <w:rFonts w:ascii="Times New Roman" w:hAnsi="Times New Roman"/>
          <w:color w:val="000000"/>
          <w:sz w:val="24"/>
          <w:szCs w:val="24"/>
        </w:rPr>
        <w:t>пет</w:t>
      </w:r>
      <w:r w:rsidRPr="009C5D97">
        <w:rPr>
          <w:rFonts w:ascii="Times New Roman" w:hAnsi="Times New Roman"/>
          <w:color w:val="000000"/>
          <w:sz w:val="24"/>
          <w:szCs w:val="24"/>
        </w:rPr>
        <w:t xml:space="preserve"> години и блиску до просекот на ЕУ-27 од 22,8 % (2022 година). Инвестициите во градежништвото како процент од вкупните инвестиции во 2021 година (55,2</w:t>
      </w:r>
      <w:r>
        <w:rPr>
          <w:rFonts w:ascii="Times New Roman" w:hAnsi="Times New Roman"/>
          <w:color w:val="000000"/>
          <w:sz w:val="24"/>
          <w:szCs w:val="24"/>
        </w:rPr>
        <w:t xml:space="preserve"> </w:t>
      </w:r>
      <w:r w:rsidRPr="009C5D97">
        <w:rPr>
          <w:rFonts w:ascii="Times New Roman" w:hAnsi="Times New Roman"/>
          <w:color w:val="000000"/>
          <w:sz w:val="24"/>
          <w:szCs w:val="24"/>
        </w:rPr>
        <w:t>%) беа сведени на нивниот петгодишен просек (58,2%), додека инвестициите во машини и опрема се зголеми</w:t>
      </w:r>
      <w:r>
        <w:rPr>
          <w:rFonts w:ascii="Times New Roman" w:hAnsi="Times New Roman"/>
          <w:color w:val="000000"/>
          <w:sz w:val="24"/>
          <w:szCs w:val="24"/>
        </w:rPr>
        <w:t>ле</w:t>
      </w:r>
      <w:r w:rsidRPr="009C5D97">
        <w:rPr>
          <w:rFonts w:ascii="Times New Roman" w:hAnsi="Times New Roman"/>
          <w:color w:val="000000"/>
          <w:sz w:val="24"/>
          <w:szCs w:val="24"/>
        </w:rPr>
        <w:t xml:space="preserve"> на 35,3</w:t>
      </w:r>
      <w:r>
        <w:rPr>
          <w:rFonts w:ascii="Times New Roman" w:hAnsi="Times New Roman"/>
          <w:color w:val="000000"/>
          <w:sz w:val="24"/>
          <w:szCs w:val="24"/>
        </w:rPr>
        <w:t xml:space="preserve"> </w:t>
      </w:r>
      <w:r w:rsidRPr="009C5D97">
        <w:rPr>
          <w:rFonts w:ascii="Times New Roman" w:hAnsi="Times New Roman"/>
          <w:color w:val="000000"/>
          <w:sz w:val="24"/>
          <w:szCs w:val="24"/>
        </w:rPr>
        <w:t xml:space="preserve">% од вкупните инвестиции, </w:t>
      </w:r>
      <w:r>
        <w:rPr>
          <w:rFonts w:ascii="Times New Roman" w:hAnsi="Times New Roman"/>
          <w:color w:val="000000"/>
          <w:sz w:val="24"/>
          <w:szCs w:val="24"/>
        </w:rPr>
        <w:t xml:space="preserve">што е </w:t>
      </w:r>
      <w:r w:rsidRPr="009C5D97">
        <w:rPr>
          <w:rFonts w:ascii="Times New Roman" w:hAnsi="Times New Roman"/>
          <w:color w:val="000000"/>
          <w:sz w:val="24"/>
          <w:szCs w:val="24"/>
        </w:rPr>
        <w:t>над просекот (32,8</w:t>
      </w:r>
      <w:r>
        <w:rPr>
          <w:rFonts w:ascii="Times New Roman" w:hAnsi="Times New Roman"/>
          <w:color w:val="000000"/>
          <w:sz w:val="24"/>
          <w:szCs w:val="24"/>
        </w:rPr>
        <w:t xml:space="preserve"> </w:t>
      </w:r>
      <w:r w:rsidRPr="009C5D97">
        <w:rPr>
          <w:rFonts w:ascii="Times New Roman" w:hAnsi="Times New Roman"/>
          <w:color w:val="000000"/>
          <w:sz w:val="24"/>
          <w:szCs w:val="24"/>
        </w:rPr>
        <w:t>%). Уделот на инвестициите на приватниот сектор во вкупните инвестиции остана</w:t>
      </w:r>
      <w:r>
        <w:rPr>
          <w:rFonts w:ascii="Times New Roman" w:hAnsi="Times New Roman"/>
          <w:color w:val="000000"/>
          <w:sz w:val="24"/>
          <w:szCs w:val="24"/>
        </w:rPr>
        <w:t>л</w:t>
      </w:r>
      <w:r w:rsidRPr="009C5D97">
        <w:rPr>
          <w:rFonts w:ascii="Times New Roman" w:hAnsi="Times New Roman"/>
          <w:color w:val="000000"/>
          <w:sz w:val="24"/>
          <w:szCs w:val="24"/>
        </w:rPr>
        <w:t xml:space="preserve"> постојан пет години</w:t>
      </w:r>
      <w:r>
        <w:rPr>
          <w:rFonts w:ascii="Times New Roman" w:hAnsi="Times New Roman"/>
          <w:color w:val="000000"/>
          <w:sz w:val="24"/>
          <w:szCs w:val="24"/>
        </w:rPr>
        <w:t>,</w:t>
      </w:r>
      <w:r w:rsidRPr="009C5D97">
        <w:rPr>
          <w:rFonts w:ascii="Times New Roman" w:hAnsi="Times New Roman"/>
          <w:color w:val="000000"/>
          <w:sz w:val="24"/>
          <w:szCs w:val="24"/>
        </w:rPr>
        <w:t xml:space="preserve"> до 2021 година, на околу 75%. Соочени со тековната енергетска криза и со долготрајните работи на одредени големи патни и железнички проекти, сè </w:t>
      </w:r>
      <w:r>
        <w:rPr>
          <w:rFonts w:ascii="Times New Roman" w:hAnsi="Times New Roman"/>
          <w:color w:val="000000"/>
          <w:sz w:val="24"/>
          <w:szCs w:val="24"/>
        </w:rPr>
        <w:t xml:space="preserve">е </w:t>
      </w:r>
      <w:r w:rsidRPr="009C5D97">
        <w:rPr>
          <w:rFonts w:ascii="Times New Roman" w:hAnsi="Times New Roman"/>
          <w:color w:val="000000"/>
          <w:sz w:val="24"/>
          <w:szCs w:val="24"/>
        </w:rPr>
        <w:t>понеопходна модернизација на инфраструктурниот капитал во земјата, особено на сообраќајните и енергетските мрежи.</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b/>
          <w:bCs/>
          <w:color w:val="000000"/>
          <w:sz w:val="24"/>
          <w:szCs w:val="24"/>
        </w:rPr>
        <w:t xml:space="preserve">Регионалната сообраќајна поврзаност напредува бавно. </w:t>
      </w:r>
      <w:r w:rsidRPr="009C5D97">
        <w:rPr>
          <w:rFonts w:ascii="Times New Roman" w:hAnsi="Times New Roman"/>
          <w:color w:val="000000"/>
          <w:sz w:val="24"/>
          <w:szCs w:val="24"/>
        </w:rPr>
        <w:t>Патниот сообраќај</w:t>
      </w:r>
      <w:r w:rsidR="00AF05B3">
        <w:rPr>
          <w:rFonts w:ascii="Times New Roman" w:hAnsi="Times New Roman"/>
          <w:color w:val="000000"/>
          <w:sz w:val="24"/>
          <w:szCs w:val="24"/>
        </w:rPr>
        <w:t xml:space="preserve"> </w:t>
      </w:r>
      <w:r w:rsidRPr="009C5D97">
        <w:rPr>
          <w:rFonts w:ascii="Times New Roman" w:hAnsi="Times New Roman"/>
          <w:color w:val="000000"/>
          <w:sz w:val="24"/>
          <w:szCs w:val="24"/>
        </w:rPr>
        <w:t xml:space="preserve">продолжува да доминира со транспортниот сектор. </w:t>
      </w:r>
      <w:r>
        <w:rPr>
          <w:rFonts w:ascii="Times New Roman" w:hAnsi="Times New Roman"/>
          <w:color w:val="000000"/>
          <w:sz w:val="24"/>
          <w:szCs w:val="24"/>
        </w:rPr>
        <w:t>И</w:t>
      </w:r>
      <w:r w:rsidRPr="009C5D97">
        <w:rPr>
          <w:rFonts w:ascii="Times New Roman" w:hAnsi="Times New Roman"/>
          <w:color w:val="000000"/>
          <w:sz w:val="24"/>
          <w:szCs w:val="24"/>
        </w:rPr>
        <w:t>нвестиции</w:t>
      </w:r>
      <w:r>
        <w:rPr>
          <w:rFonts w:ascii="Times New Roman" w:hAnsi="Times New Roman"/>
          <w:color w:val="000000"/>
          <w:sz w:val="24"/>
          <w:szCs w:val="24"/>
        </w:rPr>
        <w:t>те</w:t>
      </w:r>
      <w:r w:rsidRPr="009C5D97">
        <w:rPr>
          <w:rFonts w:ascii="Times New Roman" w:hAnsi="Times New Roman"/>
          <w:color w:val="000000"/>
          <w:sz w:val="24"/>
          <w:szCs w:val="24"/>
        </w:rPr>
        <w:t xml:space="preserve"> во другите </w:t>
      </w:r>
      <w:r>
        <w:rPr>
          <w:rFonts w:ascii="Times New Roman" w:hAnsi="Times New Roman"/>
          <w:color w:val="000000"/>
          <w:sz w:val="24"/>
          <w:szCs w:val="24"/>
        </w:rPr>
        <w:t xml:space="preserve">превозни </w:t>
      </w:r>
      <w:r w:rsidR="0015672B">
        <w:rPr>
          <w:rFonts w:ascii="Times New Roman" w:hAnsi="Times New Roman"/>
          <w:color w:val="000000"/>
          <w:sz w:val="24"/>
          <w:szCs w:val="24"/>
        </w:rPr>
        <w:t>средства</w:t>
      </w:r>
      <w:r w:rsidRPr="009C5D97">
        <w:rPr>
          <w:rFonts w:ascii="Times New Roman" w:hAnsi="Times New Roman"/>
          <w:color w:val="000000"/>
          <w:sz w:val="24"/>
          <w:szCs w:val="24"/>
        </w:rPr>
        <w:t xml:space="preserve"> </w:t>
      </w:r>
      <w:r>
        <w:rPr>
          <w:rFonts w:ascii="Times New Roman" w:hAnsi="Times New Roman"/>
          <w:color w:val="000000"/>
          <w:sz w:val="24"/>
          <w:szCs w:val="24"/>
        </w:rPr>
        <w:t xml:space="preserve">се ограничени </w:t>
      </w:r>
      <w:r w:rsidRPr="009C5D97">
        <w:rPr>
          <w:rFonts w:ascii="Times New Roman" w:hAnsi="Times New Roman"/>
          <w:color w:val="000000"/>
          <w:sz w:val="24"/>
          <w:szCs w:val="24"/>
        </w:rPr>
        <w:t>и не</w:t>
      </w:r>
      <w:r>
        <w:rPr>
          <w:rFonts w:ascii="Times New Roman" w:hAnsi="Times New Roman"/>
          <w:color w:val="000000"/>
          <w:sz w:val="24"/>
          <w:szCs w:val="24"/>
        </w:rPr>
        <w:t xml:space="preserve"> постои</w:t>
      </w:r>
      <w:r w:rsidRPr="009C5D97">
        <w:rPr>
          <w:rFonts w:ascii="Times New Roman" w:hAnsi="Times New Roman"/>
          <w:color w:val="000000"/>
          <w:sz w:val="24"/>
          <w:szCs w:val="24"/>
        </w:rPr>
        <w:t xml:space="preserve"> доследен и интелигентен систем за управување и контролирање на сообраќајот. </w:t>
      </w:r>
      <w:r>
        <w:rPr>
          <w:rFonts w:ascii="Times New Roman" w:hAnsi="Times New Roman"/>
          <w:color w:val="000000"/>
          <w:sz w:val="24"/>
          <w:szCs w:val="24"/>
        </w:rPr>
        <w:t>Релативно нискиот квалитет на с</w:t>
      </w:r>
      <w:r w:rsidRPr="009C5D97">
        <w:rPr>
          <w:rFonts w:ascii="Times New Roman" w:hAnsi="Times New Roman"/>
          <w:color w:val="000000"/>
          <w:sz w:val="24"/>
          <w:szCs w:val="24"/>
        </w:rPr>
        <w:t>ообраќајната инфраструктура, како и слабата трговска и сообраќајна логистика продолжуваат да претставуваат пречки за бизнисите. Заедничкиот систем за електронска наплата на патарина меѓу Србија и Северна Македонија стана функционален и ја олеснува трговијата и патувањето меѓу двете земји. Постигнат е одреден напредок во надградбата на главната патна мрежа на ниво на автопати</w:t>
      </w:r>
      <w:r>
        <w:rPr>
          <w:rFonts w:ascii="Times New Roman" w:hAnsi="Times New Roman"/>
          <w:color w:val="000000"/>
          <w:sz w:val="24"/>
          <w:szCs w:val="24"/>
        </w:rPr>
        <w:t>шта</w:t>
      </w:r>
      <w:r w:rsidRPr="009C5D97">
        <w:rPr>
          <w:rFonts w:ascii="Times New Roman" w:hAnsi="Times New Roman"/>
          <w:color w:val="000000"/>
          <w:sz w:val="24"/>
          <w:szCs w:val="24"/>
        </w:rPr>
        <w:t>. Започнаа работите на железничкиот Коридор VIII што има цел да ја поврзе Северна Македонија со Албанија и Бугарија и ќе им даде на компаниите на земјата алтернативна можност за извоз преку</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албанските и бугарските пристаништа.</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b/>
          <w:bCs/>
          <w:color w:val="000000"/>
          <w:sz w:val="24"/>
          <w:szCs w:val="24"/>
        </w:rPr>
        <w:t xml:space="preserve">Дигитализацијата на економијата продолжува да напредува, но сѐ уште е на ниско ниво во споредба со ЕУ. </w:t>
      </w:r>
      <w:r w:rsidRPr="009C5D97">
        <w:rPr>
          <w:rFonts w:ascii="Times New Roman" w:hAnsi="Times New Roman"/>
          <w:color w:val="000000"/>
          <w:sz w:val="24"/>
          <w:szCs w:val="24"/>
        </w:rPr>
        <w:t>Помеѓу 2017 и 2021 година процентот на домаќинства со интернет</w:t>
      </w:r>
      <w:r>
        <w:rPr>
          <w:rFonts w:ascii="Times New Roman" w:hAnsi="Times New Roman"/>
          <w:color w:val="000000"/>
          <w:sz w:val="24"/>
          <w:szCs w:val="24"/>
        </w:rPr>
        <w:t xml:space="preserve"> </w:t>
      </w:r>
      <w:r w:rsidRPr="009C5D97">
        <w:rPr>
          <w:rFonts w:ascii="Times New Roman" w:hAnsi="Times New Roman"/>
          <w:color w:val="000000"/>
          <w:sz w:val="24"/>
          <w:szCs w:val="24"/>
        </w:rPr>
        <w:t>пристап дома се зголеми</w:t>
      </w:r>
      <w:r>
        <w:rPr>
          <w:rFonts w:ascii="Times New Roman" w:hAnsi="Times New Roman"/>
          <w:color w:val="000000"/>
          <w:sz w:val="24"/>
          <w:szCs w:val="24"/>
        </w:rPr>
        <w:t>л</w:t>
      </w:r>
      <w:r w:rsidRPr="009C5D97">
        <w:rPr>
          <w:rFonts w:ascii="Times New Roman" w:hAnsi="Times New Roman"/>
          <w:color w:val="000000"/>
          <w:sz w:val="24"/>
          <w:szCs w:val="24"/>
        </w:rPr>
        <w:t xml:space="preserve"> за 10,1 пп, на 83,6</w:t>
      </w:r>
      <w:r>
        <w:rPr>
          <w:rFonts w:ascii="Times New Roman" w:hAnsi="Times New Roman"/>
          <w:color w:val="000000"/>
          <w:sz w:val="24"/>
          <w:szCs w:val="24"/>
        </w:rPr>
        <w:t xml:space="preserve"> </w:t>
      </w:r>
      <w:r w:rsidRPr="009C5D97">
        <w:rPr>
          <w:rFonts w:ascii="Times New Roman" w:hAnsi="Times New Roman"/>
          <w:color w:val="000000"/>
          <w:sz w:val="24"/>
          <w:szCs w:val="24"/>
        </w:rPr>
        <w:t>%. Фиксен широкопојасен интернет користат 88</w:t>
      </w:r>
      <w:r>
        <w:rPr>
          <w:rFonts w:ascii="Times New Roman" w:hAnsi="Times New Roman"/>
          <w:color w:val="000000"/>
          <w:sz w:val="24"/>
          <w:szCs w:val="24"/>
        </w:rPr>
        <w:t xml:space="preserve"> </w:t>
      </w:r>
      <w:r w:rsidRPr="009C5D97">
        <w:rPr>
          <w:rFonts w:ascii="Times New Roman" w:hAnsi="Times New Roman"/>
          <w:color w:val="000000"/>
          <w:sz w:val="24"/>
          <w:szCs w:val="24"/>
        </w:rPr>
        <w:t>% од корисниците на домаќинствата и 92</w:t>
      </w:r>
      <w:r>
        <w:rPr>
          <w:rFonts w:ascii="Times New Roman" w:hAnsi="Times New Roman"/>
          <w:color w:val="000000"/>
          <w:sz w:val="24"/>
          <w:szCs w:val="24"/>
        </w:rPr>
        <w:t xml:space="preserve"> </w:t>
      </w:r>
      <w:r w:rsidRPr="009C5D97">
        <w:rPr>
          <w:rFonts w:ascii="Times New Roman" w:hAnsi="Times New Roman"/>
          <w:color w:val="000000"/>
          <w:sz w:val="24"/>
          <w:szCs w:val="24"/>
        </w:rPr>
        <w:t>% од бизнисите со десет или повеќе вработени, но помалите компании сѐ уште се соочуваат со пречки. Од вкупниот број претпријатија, 54,5</w:t>
      </w:r>
      <w:r>
        <w:rPr>
          <w:rFonts w:ascii="Times New Roman" w:hAnsi="Times New Roman"/>
          <w:color w:val="000000"/>
          <w:sz w:val="24"/>
          <w:szCs w:val="24"/>
        </w:rPr>
        <w:t xml:space="preserve"> </w:t>
      </w:r>
      <w:r w:rsidRPr="009C5D97">
        <w:rPr>
          <w:rFonts w:ascii="Times New Roman" w:hAnsi="Times New Roman"/>
          <w:color w:val="000000"/>
          <w:sz w:val="24"/>
          <w:szCs w:val="24"/>
        </w:rPr>
        <w:t>% имаат веб-страница/почетна страница. Генерално, постои особена потреба да се зголеми пристапот до широкопојасен интернет, да се прошират услугите за е-влада и да се развиваат дигитални вештини.</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b/>
          <w:bCs/>
          <w:color w:val="000000"/>
          <w:sz w:val="24"/>
          <w:szCs w:val="24"/>
        </w:rPr>
        <w:t xml:space="preserve">Владата презема чекори да го поттикне инвестирањето во подобрувања на енергетската ефикасност во јавниот сектор. </w:t>
      </w:r>
      <w:r w:rsidRPr="009C5D97">
        <w:rPr>
          <w:rFonts w:ascii="Times New Roman" w:hAnsi="Times New Roman"/>
          <w:color w:val="000000"/>
          <w:sz w:val="24"/>
          <w:szCs w:val="24"/>
        </w:rPr>
        <w:t xml:space="preserve">Економијата се карактеризира со висок енергетски интензитет со ниска ефикасност во производството и потрошувачката на енергија. Северна Македонија е договорна страна во Договорот за Енергетската заедница и нејзината Влада се обврза да ја намали употребата на енергија за што се потребни значителни инвестиции. Понатамошно подобрување на енергетската ефикасност, вклучително и во станбени и јавни згради, е важно и за намалувањето на зависноста на земјата од увоз на енергија и за </w:t>
      </w:r>
      <w:r>
        <w:rPr>
          <w:rFonts w:ascii="Times New Roman" w:hAnsi="Times New Roman"/>
          <w:color w:val="000000"/>
          <w:sz w:val="24"/>
          <w:szCs w:val="24"/>
        </w:rPr>
        <w:t xml:space="preserve">да се </w:t>
      </w:r>
      <w:r w:rsidRPr="009C5D97">
        <w:rPr>
          <w:rFonts w:ascii="Times New Roman" w:hAnsi="Times New Roman"/>
          <w:color w:val="000000"/>
          <w:sz w:val="24"/>
          <w:szCs w:val="24"/>
        </w:rPr>
        <w:t>овозмож</w:t>
      </w:r>
      <w:r>
        <w:rPr>
          <w:rFonts w:ascii="Times New Roman" w:hAnsi="Times New Roman"/>
          <w:color w:val="000000"/>
          <w:sz w:val="24"/>
          <w:szCs w:val="24"/>
        </w:rPr>
        <w:t>и</w:t>
      </w:r>
      <w:r w:rsidRPr="009C5D97">
        <w:rPr>
          <w:rFonts w:ascii="Times New Roman" w:hAnsi="Times New Roman"/>
          <w:color w:val="000000"/>
          <w:sz w:val="24"/>
          <w:szCs w:val="24"/>
        </w:rPr>
        <w:t xml:space="preserve"> намалување на фискалните субвенции за енергија. Сепак, </w:t>
      </w:r>
      <w:r>
        <w:rPr>
          <w:rFonts w:ascii="Times New Roman" w:hAnsi="Times New Roman"/>
          <w:color w:val="000000"/>
          <w:sz w:val="24"/>
          <w:szCs w:val="24"/>
        </w:rPr>
        <w:t xml:space="preserve">се доцни со </w:t>
      </w:r>
      <w:r w:rsidRPr="009C5D97">
        <w:rPr>
          <w:rFonts w:ascii="Times New Roman" w:hAnsi="Times New Roman"/>
          <w:color w:val="000000"/>
          <w:sz w:val="24"/>
          <w:szCs w:val="24"/>
        </w:rPr>
        <w:t>спроведувањето на Законот за енергетска ефикасност од 2020 година и донесувањето на подзаконските акти. Со цел да се поддржат инвестициите во енергетската ефикасност во јавниот сектор што има најголем потенцијал да ја подобри енергетската ефикасност, Владата воспостав</w:t>
      </w:r>
      <w:r>
        <w:rPr>
          <w:rFonts w:ascii="Times New Roman" w:hAnsi="Times New Roman"/>
          <w:color w:val="000000"/>
          <w:sz w:val="24"/>
          <w:szCs w:val="24"/>
        </w:rPr>
        <w:t>ила</w:t>
      </w:r>
      <w:r w:rsidRPr="009C5D97">
        <w:rPr>
          <w:rFonts w:ascii="Times New Roman" w:hAnsi="Times New Roman"/>
          <w:color w:val="000000"/>
          <w:sz w:val="24"/>
          <w:szCs w:val="24"/>
        </w:rPr>
        <w:t xml:space="preserve"> Фонд за енергетска ефикасност (ФЕЕ). На крајот од 2022 година Владата одлучи</w:t>
      </w:r>
      <w:r>
        <w:rPr>
          <w:rFonts w:ascii="Times New Roman" w:hAnsi="Times New Roman"/>
          <w:color w:val="000000"/>
          <w:sz w:val="24"/>
          <w:szCs w:val="24"/>
        </w:rPr>
        <w:t>ла</w:t>
      </w:r>
      <w:r w:rsidRPr="009C5D97">
        <w:rPr>
          <w:rFonts w:ascii="Times New Roman" w:hAnsi="Times New Roman"/>
          <w:color w:val="000000"/>
          <w:sz w:val="24"/>
          <w:szCs w:val="24"/>
        </w:rPr>
        <w:t xml:space="preserve"> да го воспостави ЕФФ во рамките на Развојната банка. Законската и регулаторната рамка за неговото воспоставување и </w:t>
      </w:r>
      <w:r w:rsidRPr="00382B0A">
        <w:rPr>
          <w:rFonts w:ascii="Times New Roman" w:hAnsi="Times New Roman"/>
          <w:color w:val="000000"/>
          <w:sz w:val="24"/>
          <w:szCs w:val="24"/>
        </w:rPr>
        <w:t>операционализација</w:t>
      </w:r>
      <w:r w:rsidRPr="00382B0A" w:rsidDel="00382B0A">
        <w:rPr>
          <w:rFonts w:ascii="Times New Roman" w:hAnsi="Times New Roman"/>
          <w:color w:val="000000"/>
          <w:sz w:val="24"/>
          <w:szCs w:val="24"/>
        </w:rPr>
        <w:t xml:space="preserve"> </w:t>
      </w:r>
      <w:r w:rsidRPr="009C5D97">
        <w:rPr>
          <w:rFonts w:ascii="Times New Roman" w:hAnsi="Times New Roman"/>
          <w:color w:val="000000"/>
          <w:sz w:val="24"/>
          <w:szCs w:val="24"/>
        </w:rPr>
        <w:t>бара</w:t>
      </w:r>
      <w:r>
        <w:rPr>
          <w:rFonts w:ascii="Times New Roman" w:hAnsi="Times New Roman"/>
          <w:color w:val="000000"/>
          <w:sz w:val="24"/>
          <w:szCs w:val="24"/>
        </w:rPr>
        <w:t>ше</w:t>
      </w:r>
      <w:r w:rsidRPr="009C5D97">
        <w:rPr>
          <w:rFonts w:ascii="Times New Roman" w:hAnsi="Times New Roman"/>
          <w:color w:val="000000"/>
          <w:sz w:val="24"/>
          <w:szCs w:val="24"/>
        </w:rPr>
        <w:t xml:space="preserve"> измени </w:t>
      </w:r>
      <w:r>
        <w:rPr>
          <w:rFonts w:ascii="Times New Roman" w:hAnsi="Times New Roman"/>
          <w:color w:val="000000"/>
          <w:sz w:val="24"/>
          <w:szCs w:val="24"/>
        </w:rPr>
        <w:t xml:space="preserve">и дополнувања </w:t>
      </w:r>
      <w:r w:rsidRPr="009C5D97">
        <w:rPr>
          <w:rFonts w:ascii="Times New Roman" w:hAnsi="Times New Roman"/>
          <w:color w:val="000000"/>
          <w:sz w:val="24"/>
          <w:szCs w:val="24"/>
        </w:rPr>
        <w:t>на Законот за Развојна банка што Собранието ги донесе во октомври 2023 година. Останува да се утврдат деловникот на Фондот и рамката за текот на проектот.</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b/>
          <w:bCs/>
          <w:color w:val="000000"/>
          <w:sz w:val="24"/>
          <w:szCs w:val="24"/>
        </w:rPr>
        <w:t>Законската рамка за инвестиции во обновливи извори на енергија е подобрена.</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 xml:space="preserve">Производството на електрична енергија во голема мера зависи од јагленот, со оглед на тоа дека домашните резерви на јаглен се намалуваат, од увоз. </w:t>
      </w:r>
      <w:r>
        <w:rPr>
          <w:rFonts w:ascii="Times New Roman" w:hAnsi="Times New Roman"/>
          <w:color w:val="000000"/>
          <w:sz w:val="24"/>
          <w:szCs w:val="24"/>
        </w:rPr>
        <w:t>Уделот</w:t>
      </w:r>
      <w:r w:rsidRPr="009C5D97">
        <w:rPr>
          <w:rFonts w:ascii="Times New Roman" w:hAnsi="Times New Roman"/>
          <w:color w:val="000000"/>
          <w:sz w:val="24"/>
          <w:szCs w:val="24"/>
        </w:rPr>
        <w:t xml:space="preserve"> на енергијата од обновливи извори на енергија остан</w:t>
      </w:r>
      <w:r>
        <w:rPr>
          <w:rFonts w:ascii="Times New Roman" w:hAnsi="Times New Roman"/>
          <w:color w:val="000000"/>
          <w:sz w:val="24"/>
          <w:szCs w:val="24"/>
        </w:rPr>
        <w:t>ала</w:t>
      </w:r>
      <w:r w:rsidRPr="009C5D97">
        <w:rPr>
          <w:rFonts w:ascii="Times New Roman" w:hAnsi="Times New Roman"/>
          <w:color w:val="000000"/>
          <w:sz w:val="24"/>
          <w:szCs w:val="24"/>
        </w:rPr>
        <w:t xml:space="preserve"> </w:t>
      </w:r>
      <w:r>
        <w:rPr>
          <w:rFonts w:ascii="Times New Roman" w:hAnsi="Times New Roman"/>
          <w:color w:val="000000"/>
          <w:sz w:val="24"/>
          <w:szCs w:val="24"/>
        </w:rPr>
        <w:t>релативно</w:t>
      </w:r>
      <w:r w:rsidRPr="009C5D97">
        <w:rPr>
          <w:rFonts w:ascii="Times New Roman" w:hAnsi="Times New Roman"/>
          <w:color w:val="000000"/>
          <w:sz w:val="24"/>
          <w:szCs w:val="24"/>
        </w:rPr>
        <w:t xml:space="preserve"> ниска, 17,3</w:t>
      </w:r>
      <w:r>
        <w:rPr>
          <w:rFonts w:ascii="Times New Roman" w:hAnsi="Times New Roman"/>
          <w:color w:val="000000"/>
          <w:sz w:val="24"/>
          <w:szCs w:val="24"/>
        </w:rPr>
        <w:t xml:space="preserve"> </w:t>
      </w:r>
      <w:r w:rsidRPr="009C5D97">
        <w:rPr>
          <w:rFonts w:ascii="Times New Roman" w:hAnsi="Times New Roman"/>
          <w:color w:val="000000"/>
          <w:sz w:val="24"/>
          <w:szCs w:val="24"/>
        </w:rPr>
        <w:t>% во 2021 година. Владата планира да ја зголеми обновливата енергија на 35</w:t>
      </w:r>
      <w:r>
        <w:rPr>
          <w:rFonts w:ascii="Times New Roman" w:hAnsi="Times New Roman"/>
          <w:color w:val="000000"/>
          <w:sz w:val="24"/>
          <w:szCs w:val="24"/>
        </w:rPr>
        <w:t xml:space="preserve">% </w:t>
      </w:r>
      <w:r w:rsidRPr="009C5D97">
        <w:rPr>
          <w:rFonts w:ascii="Times New Roman" w:hAnsi="Times New Roman"/>
          <w:color w:val="000000"/>
          <w:sz w:val="24"/>
          <w:szCs w:val="24"/>
        </w:rPr>
        <w:t>-</w:t>
      </w:r>
      <w:r>
        <w:rPr>
          <w:rFonts w:ascii="Times New Roman" w:hAnsi="Times New Roman"/>
          <w:color w:val="000000"/>
          <w:sz w:val="24"/>
          <w:szCs w:val="24"/>
        </w:rPr>
        <w:t xml:space="preserve"> </w:t>
      </w:r>
      <w:r w:rsidRPr="009C5D97">
        <w:rPr>
          <w:rFonts w:ascii="Times New Roman" w:hAnsi="Times New Roman"/>
          <w:color w:val="000000"/>
          <w:sz w:val="24"/>
          <w:szCs w:val="24"/>
        </w:rPr>
        <w:t>45% од потрошувачката на енергија до 2040 година за да ја намали високата зависност на земјата од увезени течни горива и природен гас. Во ноември 2022 година Собранието доне</w:t>
      </w:r>
      <w:r>
        <w:rPr>
          <w:rFonts w:ascii="Times New Roman" w:hAnsi="Times New Roman"/>
          <w:color w:val="000000"/>
          <w:sz w:val="24"/>
          <w:szCs w:val="24"/>
        </w:rPr>
        <w:t>ло</w:t>
      </w:r>
      <w:r w:rsidRPr="009C5D97">
        <w:rPr>
          <w:rFonts w:ascii="Times New Roman" w:hAnsi="Times New Roman"/>
          <w:color w:val="000000"/>
          <w:sz w:val="24"/>
          <w:szCs w:val="24"/>
        </w:rPr>
        <w:t xml:space="preserve"> измени на Законот за енергетика од 2018 година</w:t>
      </w:r>
      <w:r>
        <w:rPr>
          <w:rFonts w:ascii="Times New Roman" w:hAnsi="Times New Roman"/>
          <w:color w:val="000000"/>
          <w:sz w:val="24"/>
          <w:szCs w:val="24"/>
        </w:rPr>
        <w:t>,</w:t>
      </w:r>
      <w:r w:rsidRPr="009C5D97">
        <w:rPr>
          <w:rFonts w:ascii="Times New Roman" w:hAnsi="Times New Roman"/>
          <w:color w:val="000000"/>
          <w:sz w:val="24"/>
          <w:szCs w:val="24"/>
        </w:rPr>
        <w:t xml:space="preserve"> со што ги поттикн</w:t>
      </w:r>
      <w:r>
        <w:rPr>
          <w:rFonts w:ascii="Times New Roman" w:hAnsi="Times New Roman"/>
          <w:color w:val="000000"/>
          <w:sz w:val="24"/>
          <w:szCs w:val="24"/>
        </w:rPr>
        <w:t>ала</w:t>
      </w:r>
      <w:r w:rsidRPr="009C5D97">
        <w:rPr>
          <w:rFonts w:ascii="Times New Roman" w:hAnsi="Times New Roman"/>
          <w:color w:val="000000"/>
          <w:sz w:val="24"/>
          <w:szCs w:val="24"/>
        </w:rPr>
        <w:t xml:space="preserve"> инвестициите во обновливи извори на енергија, особено на соларна енергија. Во исто време </w:t>
      </w:r>
      <w:r>
        <w:rPr>
          <w:rFonts w:ascii="Times New Roman" w:hAnsi="Times New Roman"/>
          <w:color w:val="000000"/>
          <w:sz w:val="24"/>
          <w:szCs w:val="24"/>
        </w:rPr>
        <w:t>Ц</w:t>
      </w:r>
      <w:r w:rsidRPr="009C5D97">
        <w:rPr>
          <w:rFonts w:ascii="Times New Roman" w:hAnsi="Times New Roman"/>
          <w:color w:val="000000"/>
          <w:sz w:val="24"/>
          <w:szCs w:val="24"/>
        </w:rPr>
        <w:t>ентралната банка започна</w:t>
      </w:r>
      <w:r>
        <w:rPr>
          <w:rFonts w:ascii="Times New Roman" w:hAnsi="Times New Roman"/>
          <w:color w:val="000000"/>
          <w:sz w:val="24"/>
          <w:szCs w:val="24"/>
        </w:rPr>
        <w:t>ла</w:t>
      </w:r>
      <w:r w:rsidRPr="009C5D97">
        <w:rPr>
          <w:rFonts w:ascii="Times New Roman" w:hAnsi="Times New Roman"/>
          <w:color w:val="000000"/>
          <w:sz w:val="24"/>
          <w:szCs w:val="24"/>
        </w:rPr>
        <w:t xml:space="preserve"> да спроведува мерка за да </w:t>
      </w:r>
      <w:r>
        <w:rPr>
          <w:rFonts w:ascii="Times New Roman" w:hAnsi="Times New Roman"/>
          <w:color w:val="000000"/>
          <w:sz w:val="24"/>
          <w:szCs w:val="24"/>
        </w:rPr>
        <w:t xml:space="preserve">го </w:t>
      </w:r>
      <w:r w:rsidRPr="009C5D97">
        <w:rPr>
          <w:rFonts w:ascii="Times New Roman" w:hAnsi="Times New Roman"/>
          <w:color w:val="000000"/>
          <w:sz w:val="24"/>
          <w:szCs w:val="24"/>
        </w:rPr>
        <w:t>охрабри зајмување</w:t>
      </w:r>
      <w:r>
        <w:rPr>
          <w:rFonts w:ascii="Times New Roman" w:hAnsi="Times New Roman"/>
          <w:color w:val="000000"/>
          <w:sz w:val="24"/>
          <w:szCs w:val="24"/>
        </w:rPr>
        <w:t>то</w:t>
      </w:r>
      <w:r w:rsidRPr="009C5D97">
        <w:rPr>
          <w:rFonts w:ascii="Times New Roman" w:hAnsi="Times New Roman"/>
          <w:color w:val="000000"/>
          <w:sz w:val="24"/>
          <w:szCs w:val="24"/>
        </w:rPr>
        <w:t xml:space="preserve"> на корпоративниот сектор за финансирање проекти за домашно производство на електрична енергија од обновливи извори.</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b/>
          <w:bCs/>
          <w:color w:val="000000"/>
          <w:sz w:val="24"/>
          <w:szCs w:val="24"/>
        </w:rPr>
        <w:t xml:space="preserve">Дистрибуцијата на природниот гас останува ограничена. </w:t>
      </w:r>
      <w:r w:rsidRPr="009C5D97">
        <w:rPr>
          <w:rFonts w:ascii="Times New Roman" w:hAnsi="Times New Roman"/>
          <w:color w:val="000000"/>
          <w:sz w:val="24"/>
          <w:szCs w:val="24"/>
        </w:rPr>
        <w:t xml:space="preserve">Во меѓувреме, дистрибуцијата на природен гас напредува, како меѓучекор во процесот на декарбонизација, при што се прават напори за </w:t>
      </w:r>
      <w:r>
        <w:rPr>
          <w:rFonts w:ascii="Times New Roman" w:hAnsi="Times New Roman"/>
          <w:color w:val="000000"/>
          <w:sz w:val="24"/>
          <w:szCs w:val="24"/>
        </w:rPr>
        <w:t>подобрување</w:t>
      </w:r>
      <w:r w:rsidRPr="009C5D97">
        <w:rPr>
          <w:rFonts w:ascii="Times New Roman" w:hAnsi="Times New Roman"/>
          <w:color w:val="000000"/>
          <w:sz w:val="24"/>
          <w:szCs w:val="24"/>
        </w:rPr>
        <w:t xml:space="preserve"> на преносната и дистрибутивната мрежа. Пазарот на природен гас е либерализиран во 2015 година. Бројот на поврзани корисници </w:t>
      </w:r>
      <w:r>
        <w:rPr>
          <w:rFonts w:ascii="Times New Roman" w:hAnsi="Times New Roman"/>
          <w:color w:val="000000"/>
          <w:sz w:val="24"/>
          <w:szCs w:val="24"/>
        </w:rPr>
        <w:t>и понатаму е</w:t>
      </w:r>
      <w:r w:rsidRPr="009C5D97">
        <w:rPr>
          <w:rFonts w:ascii="Times New Roman" w:hAnsi="Times New Roman"/>
          <w:color w:val="000000"/>
          <w:sz w:val="24"/>
          <w:szCs w:val="24"/>
        </w:rPr>
        <w:t xml:space="preserve"> ограничен, во 2022 година </w:t>
      </w:r>
      <w:r>
        <w:rPr>
          <w:rFonts w:ascii="Times New Roman" w:hAnsi="Times New Roman"/>
          <w:color w:val="000000"/>
          <w:sz w:val="24"/>
          <w:szCs w:val="24"/>
        </w:rPr>
        <w:t>бил</w:t>
      </w:r>
      <w:r w:rsidRPr="009C5D97">
        <w:rPr>
          <w:rFonts w:ascii="Times New Roman" w:hAnsi="Times New Roman"/>
          <w:color w:val="000000"/>
          <w:sz w:val="24"/>
          <w:szCs w:val="24"/>
        </w:rPr>
        <w:t xml:space="preserve"> зголемен за 10</w:t>
      </w:r>
      <w:r>
        <w:rPr>
          <w:rFonts w:ascii="Times New Roman" w:hAnsi="Times New Roman"/>
          <w:color w:val="000000"/>
          <w:sz w:val="24"/>
          <w:szCs w:val="24"/>
        </w:rPr>
        <w:t xml:space="preserve"> </w:t>
      </w:r>
      <w:r w:rsidRPr="009C5D97">
        <w:rPr>
          <w:rFonts w:ascii="Times New Roman" w:hAnsi="Times New Roman"/>
          <w:color w:val="000000"/>
          <w:sz w:val="24"/>
          <w:szCs w:val="24"/>
        </w:rPr>
        <w:t xml:space="preserve">% на годишна основа, на 550. </w:t>
      </w:r>
      <w:r w:rsidRPr="00382B0A">
        <w:rPr>
          <w:rFonts w:ascii="Times New Roman" w:hAnsi="Times New Roman"/>
          <w:color w:val="000000"/>
          <w:sz w:val="24"/>
          <w:szCs w:val="24"/>
        </w:rPr>
        <w:t>Слично ограничен</w:t>
      </w:r>
      <w:r w:rsidRPr="00721A72">
        <w:rPr>
          <w:rFonts w:ascii="Times New Roman" w:hAnsi="Times New Roman"/>
          <w:color w:val="000000"/>
          <w:sz w:val="24"/>
          <w:szCs w:val="24"/>
        </w:rPr>
        <w:t>и</w:t>
      </w:r>
      <w:r w:rsidRPr="00382B0A">
        <w:rPr>
          <w:rFonts w:ascii="Times New Roman" w:hAnsi="Times New Roman"/>
          <w:color w:val="000000"/>
          <w:sz w:val="24"/>
          <w:szCs w:val="24"/>
        </w:rPr>
        <w:t xml:space="preserve"> </w:t>
      </w:r>
      <w:r w:rsidRPr="00721A72">
        <w:rPr>
          <w:rFonts w:ascii="Times New Roman" w:hAnsi="Times New Roman"/>
          <w:color w:val="000000"/>
          <w:sz w:val="24"/>
          <w:szCs w:val="24"/>
        </w:rPr>
        <w:t>с</w:t>
      </w:r>
      <w:r w:rsidRPr="00382B0A">
        <w:rPr>
          <w:rFonts w:ascii="Times New Roman" w:hAnsi="Times New Roman"/>
          <w:color w:val="000000"/>
          <w:sz w:val="24"/>
          <w:szCs w:val="24"/>
        </w:rPr>
        <w:t>е и</w:t>
      </w:r>
      <w:r w:rsidRPr="009C5D97">
        <w:rPr>
          <w:rFonts w:ascii="Times New Roman" w:hAnsi="Times New Roman"/>
          <w:color w:val="000000"/>
          <w:sz w:val="24"/>
          <w:szCs w:val="24"/>
        </w:rPr>
        <w:t xml:space="preserve"> должината на преносната мрежа (+5</w:t>
      </w:r>
      <w:r>
        <w:rPr>
          <w:rFonts w:ascii="Times New Roman" w:hAnsi="Times New Roman"/>
          <w:color w:val="000000"/>
          <w:sz w:val="24"/>
          <w:szCs w:val="24"/>
        </w:rPr>
        <w:t xml:space="preserve"> </w:t>
      </w:r>
      <w:r w:rsidRPr="009C5D97">
        <w:rPr>
          <w:rFonts w:ascii="Times New Roman" w:hAnsi="Times New Roman"/>
          <w:color w:val="000000"/>
          <w:sz w:val="24"/>
          <w:szCs w:val="24"/>
        </w:rPr>
        <w:t>% на годишна основа, на 210 км) и вкупните дистрибуирани количини. Гасот учествува со околу 11</w:t>
      </w:r>
      <w:r>
        <w:rPr>
          <w:rFonts w:ascii="Times New Roman" w:hAnsi="Times New Roman"/>
          <w:color w:val="000000"/>
          <w:sz w:val="24"/>
          <w:szCs w:val="24"/>
        </w:rPr>
        <w:t xml:space="preserve"> </w:t>
      </w:r>
      <w:r w:rsidRPr="009C5D97">
        <w:rPr>
          <w:rFonts w:ascii="Times New Roman" w:hAnsi="Times New Roman"/>
          <w:color w:val="000000"/>
          <w:sz w:val="24"/>
          <w:szCs w:val="24"/>
        </w:rPr>
        <w:t xml:space="preserve">% од производството на електрична енергија. </w:t>
      </w:r>
      <w:r>
        <w:rPr>
          <w:rFonts w:ascii="Times New Roman" w:hAnsi="Times New Roman"/>
          <w:color w:val="000000"/>
          <w:sz w:val="24"/>
          <w:szCs w:val="24"/>
        </w:rPr>
        <w:t xml:space="preserve">Остварен е </w:t>
      </w:r>
      <w:r w:rsidRPr="009C5D97">
        <w:rPr>
          <w:rFonts w:ascii="Times New Roman" w:hAnsi="Times New Roman"/>
          <w:color w:val="000000"/>
          <w:sz w:val="24"/>
          <w:szCs w:val="24"/>
        </w:rPr>
        <w:t xml:space="preserve">мал напредок во одвојувањето на операторот на системот за пренос на гас, </w:t>
      </w:r>
      <w:r w:rsidRPr="00382B0A">
        <w:rPr>
          <w:rFonts w:ascii="Times New Roman" w:hAnsi="Times New Roman"/>
          <w:color w:val="000000"/>
          <w:sz w:val="24"/>
          <w:szCs w:val="24"/>
        </w:rPr>
        <w:t>сега планирано</w:t>
      </w:r>
      <w:r w:rsidRPr="009C5D97">
        <w:rPr>
          <w:rFonts w:ascii="Times New Roman" w:hAnsi="Times New Roman"/>
          <w:color w:val="000000"/>
          <w:sz w:val="24"/>
          <w:szCs w:val="24"/>
        </w:rPr>
        <w:t xml:space="preserve"> за крајот на 2023 година. Поврзувањето со регионалните гасоводи бавно напредува. Работите на гасната интерконекција со Грција сè уште не се започнати. Овој проект би поддржал диверзификација на изворите на природен гас и би го олеснил пристапот до транзитните цевководи.</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color w:val="000000"/>
          <w:sz w:val="24"/>
          <w:szCs w:val="24"/>
          <w:u w:val="single"/>
        </w:rPr>
        <w:t>Секторска структура и структура на претпријатија</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b/>
          <w:bCs/>
          <w:color w:val="000000"/>
          <w:sz w:val="24"/>
          <w:szCs w:val="24"/>
        </w:rPr>
        <w:t xml:space="preserve">Диверзификацијата на економијата продолжи по пандемијата. </w:t>
      </w:r>
      <w:r w:rsidRPr="009C5D97">
        <w:rPr>
          <w:rFonts w:ascii="Times New Roman" w:hAnsi="Times New Roman"/>
          <w:color w:val="000000"/>
          <w:sz w:val="24"/>
          <w:szCs w:val="24"/>
        </w:rPr>
        <w:t>Аутпутот на економијата силно зависи од производствениот сектор. Во последните години услугите и трговијата постепено го зголеми</w:t>
      </w:r>
      <w:r>
        <w:rPr>
          <w:rFonts w:ascii="Times New Roman" w:hAnsi="Times New Roman"/>
          <w:color w:val="000000"/>
          <w:sz w:val="24"/>
          <w:szCs w:val="24"/>
        </w:rPr>
        <w:t>ле</w:t>
      </w:r>
      <w:r w:rsidRPr="009C5D97">
        <w:rPr>
          <w:rFonts w:ascii="Times New Roman" w:hAnsi="Times New Roman"/>
          <w:color w:val="000000"/>
          <w:sz w:val="24"/>
          <w:szCs w:val="24"/>
        </w:rPr>
        <w:t xml:space="preserve"> својот удел во додадената вредност. Заедно, тие учествува</w:t>
      </w:r>
      <w:r>
        <w:rPr>
          <w:rFonts w:ascii="Times New Roman" w:hAnsi="Times New Roman"/>
          <w:color w:val="000000"/>
          <w:sz w:val="24"/>
          <w:szCs w:val="24"/>
        </w:rPr>
        <w:t>ле</w:t>
      </w:r>
      <w:r w:rsidRPr="009C5D97">
        <w:rPr>
          <w:rFonts w:ascii="Times New Roman" w:hAnsi="Times New Roman"/>
          <w:color w:val="000000"/>
          <w:sz w:val="24"/>
          <w:szCs w:val="24"/>
        </w:rPr>
        <w:t xml:space="preserve"> со околу 66</w:t>
      </w:r>
      <w:r>
        <w:rPr>
          <w:rFonts w:ascii="Times New Roman" w:hAnsi="Times New Roman"/>
          <w:color w:val="000000"/>
          <w:sz w:val="24"/>
          <w:szCs w:val="24"/>
        </w:rPr>
        <w:t xml:space="preserve"> </w:t>
      </w:r>
      <w:r w:rsidRPr="009C5D97">
        <w:rPr>
          <w:rFonts w:ascii="Times New Roman" w:hAnsi="Times New Roman"/>
          <w:color w:val="000000"/>
          <w:sz w:val="24"/>
          <w:szCs w:val="24"/>
        </w:rPr>
        <w:t>%</w:t>
      </w:r>
      <w:r>
        <w:rPr>
          <w:rFonts w:ascii="Times New Roman" w:hAnsi="Times New Roman"/>
          <w:color w:val="000000"/>
          <w:sz w:val="24"/>
          <w:szCs w:val="24"/>
        </w:rPr>
        <w:t xml:space="preserve"> </w:t>
      </w:r>
      <w:r w:rsidRPr="009C5D97">
        <w:rPr>
          <w:rFonts w:ascii="Times New Roman" w:hAnsi="Times New Roman"/>
          <w:color w:val="000000"/>
          <w:sz w:val="24"/>
          <w:szCs w:val="24"/>
        </w:rPr>
        <w:t xml:space="preserve">од вкупната додадена вредност во 2022 година, а </w:t>
      </w:r>
      <w:r>
        <w:rPr>
          <w:rFonts w:ascii="Times New Roman" w:hAnsi="Times New Roman"/>
          <w:color w:val="000000"/>
          <w:sz w:val="24"/>
          <w:szCs w:val="24"/>
        </w:rPr>
        <w:t>приближно</w:t>
      </w:r>
      <w:r w:rsidRPr="009C5D97">
        <w:rPr>
          <w:rFonts w:ascii="Times New Roman" w:hAnsi="Times New Roman"/>
          <w:color w:val="000000"/>
          <w:sz w:val="24"/>
          <w:szCs w:val="24"/>
        </w:rPr>
        <w:t xml:space="preserve"> исто колку и претходната година</w:t>
      </w:r>
      <w:r w:rsidRPr="00382B0A">
        <w:rPr>
          <w:rFonts w:ascii="Times New Roman" w:hAnsi="Times New Roman"/>
          <w:color w:val="000000"/>
          <w:sz w:val="24"/>
          <w:szCs w:val="24"/>
        </w:rPr>
        <w:t xml:space="preserve">, </w:t>
      </w:r>
      <w:r>
        <w:rPr>
          <w:rFonts w:ascii="Times New Roman" w:hAnsi="Times New Roman"/>
          <w:color w:val="000000"/>
          <w:sz w:val="24"/>
          <w:szCs w:val="24"/>
        </w:rPr>
        <w:t>раст</w:t>
      </w:r>
      <w:r w:rsidRPr="00382B0A">
        <w:rPr>
          <w:rFonts w:ascii="Times New Roman" w:hAnsi="Times New Roman"/>
          <w:color w:val="000000"/>
          <w:sz w:val="24"/>
          <w:szCs w:val="24"/>
        </w:rPr>
        <w:t xml:space="preserve"> од 6</w:t>
      </w:r>
      <w:r>
        <w:rPr>
          <w:rFonts w:ascii="Times New Roman" w:hAnsi="Times New Roman"/>
          <w:color w:val="000000"/>
          <w:sz w:val="24"/>
          <w:szCs w:val="24"/>
        </w:rPr>
        <w:t>0</w:t>
      </w:r>
      <w:r w:rsidRPr="00382B0A">
        <w:rPr>
          <w:rFonts w:ascii="Times New Roman" w:hAnsi="Times New Roman"/>
          <w:color w:val="000000"/>
          <w:sz w:val="24"/>
          <w:szCs w:val="24"/>
        </w:rPr>
        <w:t>,4 % во 2016</w:t>
      </w:r>
      <w:r w:rsidRPr="009C5D97">
        <w:rPr>
          <w:rFonts w:ascii="Times New Roman" w:hAnsi="Times New Roman"/>
          <w:color w:val="000000"/>
          <w:sz w:val="24"/>
          <w:szCs w:val="24"/>
        </w:rPr>
        <w:t xml:space="preserve"> година. </w:t>
      </w:r>
      <w:r>
        <w:rPr>
          <w:rFonts w:ascii="Times New Roman" w:hAnsi="Times New Roman"/>
          <w:color w:val="000000"/>
          <w:sz w:val="24"/>
          <w:szCs w:val="24"/>
        </w:rPr>
        <w:t>Веќе втора година у</w:t>
      </w:r>
      <w:r w:rsidRPr="009C5D97">
        <w:rPr>
          <w:rFonts w:ascii="Times New Roman" w:hAnsi="Times New Roman"/>
          <w:color w:val="000000"/>
          <w:sz w:val="24"/>
          <w:szCs w:val="24"/>
        </w:rPr>
        <w:t>делот на производството малку се намал</w:t>
      </w:r>
      <w:r>
        <w:rPr>
          <w:rFonts w:ascii="Times New Roman" w:hAnsi="Times New Roman"/>
          <w:color w:val="000000"/>
          <w:sz w:val="24"/>
          <w:szCs w:val="24"/>
        </w:rPr>
        <w:t>ил</w:t>
      </w:r>
      <w:r w:rsidRPr="009C5D97">
        <w:rPr>
          <w:rFonts w:ascii="Times New Roman" w:hAnsi="Times New Roman"/>
          <w:color w:val="000000"/>
          <w:sz w:val="24"/>
          <w:szCs w:val="24"/>
        </w:rPr>
        <w:t>, на 14,6% од додадената вредност во 2022 година</w:t>
      </w:r>
      <w:r>
        <w:rPr>
          <w:rFonts w:ascii="Times New Roman" w:hAnsi="Times New Roman"/>
          <w:color w:val="000000"/>
          <w:sz w:val="24"/>
          <w:szCs w:val="24"/>
        </w:rPr>
        <w:t>.</w:t>
      </w:r>
      <w:r w:rsidRPr="009C5D97">
        <w:rPr>
          <w:rFonts w:ascii="Times New Roman" w:hAnsi="Times New Roman"/>
          <w:color w:val="000000"/>
          <w:sz w:val="24"/>
          <w:szCs w:val="24"/>
        </w:rPr>
        <w:t xml:space="preserve"> </w:t>
      </w:r>
      <w:r>
        <w:rPr>
          <w:rFonts w:ascii="Times New Roman" w:hAnsi="Times New Roman"/>
          <w:color w:val="000000"/>
          <w:sz w:val="24"/>
          <w:szCs w:val="24"/>
        </w:rPr>
        <w:t>по</w:t>
      </w:r>
      <w:r w:rsidRPr="009C5D97">
        <w:rPr>
          <w:rFonts w:ascii="Times New Roman" w:hAnsi="Times New Roman"/>
          <w:color w:val="000000"/>
          <w:sz w:val="24"/>
          <w:szCs w:val="24"/>
        </w:rPr>
        <w:t xml:space="preserve"> значителн</w:t>
      </w:r>
      <w:r>
        <w:rPr>
          <w:rFonts w:ascii="Times New Roman" w:hAnsi="Times New Roman"/>
          <w:color w:val="000000"/>
          <w:sz w:val="24"/>
          <w:szCs w:val="24"/>
        </w:rPr>
        <w:t xml:space="preserve">иот пораст </w:t>
      </w:r>
      <w:r w:rsidRPr="009C5D97">
        <w:rPr>
          <w:rFonts w:ascii="Times New Roman" w:hAnsi="Times New Roman"/>
          <w:color w:val="000000"/>
          <w:sz w:val="24"/>
          <w:szCs w:val="24"/>
        </w:rPr>
        <w:t>во годините пред пандемијата. Уделот на градежништвото донекаде се зголеми</w:t>
      </w:r>
      <w:r>
        <w:rPr>
          <w:rFonts w:ascii="Times New Roman" w:hAnsi="Times New Roman"/>
          <w:color w:val="000000"/>
          <w:sz w:val="24"/>
          <w:szCs w:val="24"/>
        </w:rPr>
        <w:t>л</w:t>
      </w:r>
      <w:r w:rsidRPr="009C5D97">
        <w:rPr>
          <w:rFonts w:ascii="Times New Roman" w:hAnsi="Times New Roman"/>
          <w:color w:val="000000"/>
          <w:sz w:val="24"/>
          <w:szCs w:val="24"/>
        </w:rPr>
        <w:t xml:space="preserve">, во споредба </w:t>
      </w:r>
      <w:r>
        <w:rPr>
          <w:rFonts w:ascii="Times New Roman" w:hAnsi="Times New Roman"/>
          <w:color w:val="000000"/>
          <w:sz w:val="24"/>
          <w:szCs w:val="24"/>
        </w:rPr>
        <w:t>с</w:t>
      </w:r>
      <w:r w:rsidRPr="009C5D97">
        <w:rPr>
          <w:rFonts w:ascii="Times New Roman" w:hAnsi="Times New Roman"/>
          <w:color w:val="000000"/>
          <w:sz w:val="24"/>
          <w:szCs w:val="24"/>
        </w:rPr>
        <w:t>о 2022 година</w:t>
      </w:r>
      <w:r>
        <w:rPr>
          <w:rFonts w:ascii="Times New Roman" w:hAnsi="Times New Roman"/>
          <w:color w:val="000000"/>
          <w:sz w:val="24"/>
          <w:szCs w:val="24"/>
        </w:rPr>
        <w:t>,</w:t>
      </w:r>
      <w:r w:rsidRPr="009C5D97">
        <w:rPr>
          <w:rFonts w:ascii="Times New Roman" w:hAnsi="Times New Roman"/>
          <w:color w:val="000000"/>
          <w:sz w:val="24"/>
          <w:szCs w:val="24"/>
        </w:rPr>
        <w:t xml:space="preserve"> на 6,2</w:t>
      </w:r>
      <w:r>
        <w:rPr>
          <w:rFonts w:ascii="Times New Roman" w:hAnsi="Times New Roman"/>
          <w:color w:val="000000"/>
          <w:sz w:val="24"/>
          <w:szCs w:val="24"/>
        </w:rPr>
        <w:t xml:space="preserve"> </w:t>
      </w:r>
      <w:r w:rsidRPr="009C5D97">
        <w:rPr>
          <w:rFonts w:ascii="Times New Roman" w:hAnsi="Times New Roman"/>
          <w:color w:val="000000"/>
          <w:sz w:val="24"/>
          <w:szCs w:val="24"/>
        </w:rPr>
        <w:t xml:space="preserve">% </w:t>
      </w:r>
      <w:r w:rsidRPr="00382B0A">
        <w:rPr>
          <w:rFonts w:ascii="Times New Roman" w:hAnsi="Times New Roman"/>
          <w:color w:val="000000"/>
          <w:sz w:val="24"/>
          <w:szCs w:val="24"/>
        </w:rPr>
        <w:t xml:space="preserve">што </w:t>
      </w:r>
      <w:r>
        <w:rPr>
          <w:rFonts w:ascii="Times New Roman" w:hAnsi="Times New Roman"/>
          <w:color w:val="000000"/>
          <w:sz w:val="24"/>
          <w:szCs w:val="24"/>
        </w:rPr>
        <w:t>претставува одраз на</w:t>
      </w:r>
      <w:r w:rsidRPr="009C5D97">
        <w:rPr>
          <w:rFonts w:ascii="Times New Roman" w:hAnsi="Times New Roman"/>
          <w:color w:val="000000"/>
          <w:sz w:val="24"/>
          <w:szCs w:val="24"/>
        </w:rPr>
        <w:t xml:space="preserve"> закрепнувањето на инвестициите по пандемијата, но сепак останува под просек</w:t>
      </w:r>
      <w:r>
        <w:rPr>
          <w:rFonts w:ascii="Times New Roman" w:hAnsi="Times New Roman"/>
          <w:color w:val="000000"/>
          <w:sz w:val="24"/>
          <w:szCs w:val="24"/>
        </w:rPr>
        <w:t>от</w:t>
      </w:r>
      <w:r w:rsidRPr="009C5D97">
        <w:rPr>
          <w:rFonts w:ascii="Times New Roman" w:hAnsi="Times New Roman"/>
          <w:color w:val="000000"/>
          <w:sz w:val="24"/>
          <w:szCs w:val="24"/>
        </w:rPr>
        <w:t xml:space="preserve"> од 7</w:t>
      </w:r>
      <w:r>
        <w:rPr>
          <w:rFonts w:ascii="Times New Roman" w:hAnsi="Times New Roman"/>
          <w:color w:val="000000"/>
          <w:sz w:val="24"/>
          <w:szCs w:val="24"/>
        </w:rPr>
        <w:t xml:space="preserve"> </w:t>
      </w:r>
      <w:r w:rsidRPr="009C5D97">
        <w:rPr>
          <w:rFonts w:ascii="Times New Roman" w:hAnsi="Times New Roman"/>
          <w:color w:val="000000"/>
          <w:sz w:val="24"/>
          <w:szCs w:val="24"/>
        </w:rPr>
        <w:t xml:space="preserve">% во </w:t>
      </w:r>
      <w:r>
        <w:rPr>
          <w:rFonts w:ascii="Times New Roman" w:hAnsi="Times New Roman"/>
          <w:color w:val="000000"/>
          <w:sz w:val="24"/>
          <w:szCs w:val="24"/>
        </w:rPr>
        <w:t xml:space="preserve">периодот </w:t>
      </w:r>
      <w:r w:rsidRPr="009C5D97">
        <w:rPr>
          <w:rFonts w:ascii="Times New Roman" w:hAnsi="Times New Roman"/>
          <w:color w:val="000000"/>
          <w:sz w:val="24"/>
          <w:szCs w:val="24"/>
        </w:rPr>
        <w:t>2017-2021</w:t>
      </w:r>
      <w:r>
        <w:rPr>
          <w:rFonts w:ascii="Times New Roman" w:hAnsi="Times New Roman"/>
          <w:color w:val="000000"/>
          <w:sz w:val="24"/>
          <w:szCs w:val="24"/>
        </w:rPr>
        <w:t xml:space="preserve"> година</w:t>
      </w:r>
      <w:r w:rsidRPr="009C5D97">
        <w:rPr>
          <w:rFonts w:ascii="Times New Roman" w:hAnsi="Times New Roman"/>
          <w:color w:val="000000"/>
          <w:sz w:val="24"/>
          <w:szCs w:val="24"/>
        </w:rPr>
        <w:t>. По постојано</w:t>
      </w:r>
      <w:r>
        <w:rPr>
          <w:rFonts w:ascii="Times New Roman" w:hAnsi="Times New Roman"/>
          <w:color w:val="000000"/>
          <w:sz w:val="24"/>
          <w:szCs w:val="24"/>
        </w:rPr>
        <w:t>то</w:t>
      </w:r>
      <w:r w:rsidRPr="009C5D97">
        <w:rPr>
          <w:rFonts w:ascii="Times New Roman" w:hAnsi="Times New Roman"/>
          <w:color w:val="000000"/>
          <w:sz w:val="24"/>
          <w:szCs w:val="24"/>
        </w:rPr>
        <w:t xml:space="preserve"> намалување во текот на неколку години, уделот на земјоделството остана на 9</w:t>
      </w:r>
      <w:r>
        <w:rPr>
          <w:rFonts w:ascii="Times New Roman" w:hAnsi="Times New Roman"/>
          <w:color w:val="000000"/>
          <w:sz w:val="24"/>
          <w:szCs w:val="24"/>
        </w:rPr>
        <w:t xml:space="preserve"> </w:t>
      </w:r>
      <w:r w:rsidRPr="009C5D97">
        <w:rPr>
          <w:rFonts w:ascii="Times New Roman" w:hAnsi="Times New Roman"/>
          <w:color w:val="000000"/>
          <w:sz w:val="24"/>
          <w:szCs w:val="24"/>
        </w:rPr>
        <w:t>% од додадената вредност, како и во 2021 година.</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b/>
          <w:bCs/>
          <w:color w:val="000000"/>
          <w:sz w:val="24"/>
          <w:szCs w:val="24"/>
        </w:rPr>
        <w:t xml:space="preserve">Трговијата и услугите значително доминираат со структурата на вработување. </w:t>
      </w:r>
      <w:r>
        <w:rPr>
          <w:rFonts w:ascii="Times New Roman" w:hAnsi="Times New Roman"/>
          <w:color w:val="000000"/>
          <w:sz w:val="24"/>
          <w:szCs w:val="24"/>
        </w:rPr>
        <w:t>Т</w:t>
      </w:r>
      <w:r w:rsidRPr="009C5D97">
        <w:rPr>
          <w:rFonts w:ascii="Times New Roman" w:hAnsi="Times New Roman"/>
          <w:color w:val="000000"/>
          <w:sz w:val="24"/>
          <w:szCs w:val="24"/>
        </w:rPr>
        <w:t>рговијата и услугите</w:t>
      </w:r>
      <w:r>
        <w:rPr>
          <w:rFonts w:ascii="Times New Roman" w:hAnsi="Times New Roman"/>
          <w:color w:val="000000"/>
          <w:sz w:val="24"/>
          <w:szCs w:val="24"/>
        </w:rPr>
        <w:t>,</w:t>
      </w:r>
      <w:r w:rsidRPr="009C5D97">
        <w:rPr>
          <w:rFonts w:ascii="Times New Roman" w:hAnsi="Times New Roman"/>
          <w:color w:val="000000"/>
          <w:sz w:val="24"/>
          <w:szCs w:val="24"/>
        </w:rPr>
        <w:t xml:space="preserve"> исто така</w:t>
      </w:r>
      <w:r>
        <w:rPr>
          <w:rFonts w:ascii="Times New Roman" w:hAnsi="Times New Roman"/>
          <w:color w:val="000000"/>
          <w:sz w:val="24"/>
          <w:szCs w:val="24"/>
        </w:rPr>
        <w:t>,</w:t>
      </w:r>
      <w:r w:rsidRPr="009C5D97">
        <w:rPr>
          <w:rFonts w:ascii="Times New Roman" w:hAnsi="Times New Roman"/>
          <w:color w:val="000000"/>
          <w:sz w:val="24"/>
          <w:szCs w:val="24"/>
        </w:rPr>
        <w:t xml:space="preserve"> заземаат значително важна улога </w:t>
      </w:r>
      <w:r>
        <w:rPr>
          <w:rFonts w:ascii="Times New Roman" w:hAnsi="Times New Roman"/>
          <w:color w:val="000000"/>
          <w:sz w:val="24"/>
          <w:szCs w:val="24"/>
        </w:rPr>
        <w:t>в</w:t>
      </w:r>
      <w:r w:rsidRPr="009C5D97">
        <w:rPr>
          <w:rFonts w:ascii="Times New Roman" w:hAnsi="Times New Roman"/>
          <w:color w:val="000000"/>
          <w:sz w:val="24"/>
          <w:szCs w:val="24"/>
        </w:rPr>
        <w:t>о вработувањето, со приближно 60</w:t>
      </w:r>
      <w:r>
        <w:rPr>
          <w:rFonts w:ascii="Times New Roman" w:hAnsi="Times New Roman"/>
          <w:color w:val="000000"/>
          <w:sz w:val="24"/>
          <w:szCs w:val="24"/>
        </w:rPr>
        <w:t xml:space="preserve"> </w:t>
      </w:r>
      <w:r w:rsidRPr="009C5D97">
        <w:rPr>
          <w:rFonts w:ascii="Times New Roman" w:hAnsi="Times New Roman"/>
          <w:color w:val="000000"/>
          <w:sz w:val="24"/>
          <w:szCs w:val="24"/>
        </w:rPr>
        <w:t>% од вкупните вработувања во 2022 година во споредба со 58,4</w:t>
      </w:r>
      <w:r>
        <w:rPr>
          <w:rFonts w:ascii="Times New Roman" w:hAnsi="Times New Roman"/>
          <w:color w:val="000000"/>
          <w:sz w:val="24"/>
          <w:szCs w:val="24"/>
        </w:rPr>
        <w:t xml:space="preserve"> </w:t>
      </w:r>
      <w:r w:rsidRPr="009C5D97">
        <w:rPr>
          <w:rFonts w:ascii="Times New Roman" w:hAnsi="Times New Roman"/>
          <w:color w:val="000000"/>
          <w:sz w:val="24"/>
          <w:szCs w:val="24"/>
        </w:rPr>
        <w:t>% во 2021 година. Уделот на производствениот сектор во вкупните вработувања</w:t>
      </w:r>
      <w:r>
        <w:rPr>
          <w:rFonts w:ascii="Times New Roman" w:hAnsi="Times New Roman"/>
          <w:color w:val="000000"/>
          <w:sz w:val="24"/>
          <w:szCs w:val="24"/>
        </w:rPr>
        <w:t>,</w:t>
      </w:r>
      <w:r w:rsidRPr="009C5D97">
        <w:rPr>
          <w:rFonts w:ascii="Times New Roman" w:hAnsi="Times New Roman"/>
          <w:color w:val="000000"/>
          <w:sz w:val="24"/>
          <w:szCs w:val="24"/>
        </w:rPr>
        <w:t xml:space="preserve"> исто така</w:t>
      </w:r>
      <w:r>
        <w:rPr>
          <w:rFonts w:ascii="Times New Roman" w:hAnsi="Times New Roman"/>
          <w:color w:val="000000"/>
          <w:sz w:val="24"/>
          <w:szCs w:val="24"/>
        </w:rPr>
        <w:t>,</w:t>
      </w:r>
      <w:r w:rsidRPr="009C5D97">
        <w:rPr>
          <w:rFonts w:ascii="Times New Roman" w:hAnsi="Times New Roman"/>
          <w:color w:val="000000"/>
          <w:sz w:val="24"/>
          <w:szCs w:val="24"/>
        </w:rPr>
        <w:t xml:space="preserve"> се зголеми</w:t>
      </w:r>
      <w:r>
        <w:rPr>
          <w:rFonts w:ascii="Times New Roman" w:hAnsi="Times New Roman"/>
          <w:color w:val="000000"/>
          <w:sz w:val="24"/>
          <w:szCs w:val="24"/>
        </w:rPr>
        <w:t>л</w:t>
      </w:r>
      <w:r w:rsidRPr="009C5D97">
        <w:rPr>
          <w:rFonts w:ascii="Times New Roman" w:hAnsi="Times New Roman"/>
          <w:color w:val="000000"/>
          <w:sz w:val="24"/>
          <w:szCs w:val="24"/>
        </w:rPr>
        <w:t xml:space="preserve"> во 2022 година, во споредба со претходната година (+0,4 пп на 19,6</w:t>
      </w:r>
      <w:r>
        <w:rPr>
          <w:rFonts w:ascii="Times New Roman" w:hAnsi="Times New Roman"/>
          <w:color w:val="000000"/>
          <w:sz w:val="24"/>
          <w:szCs w:val="24"/>
        </w:rPr>
        <w:t xml:space="preserve"> </w:t>
      </w:r>
      <w:r w:rsidRPr="009C5D97">
        <w:rPr>
          <w:rFonts w:ascii="Times New Roman" w:hAnsi="Times New Roman"/>
          <w:color w:val="000000"/>
          <w:sz w:val="24"/>
          <w:szCs w:val="24"/>
        </w:rPr>
        <w:t xml:space="preserve">%), што веројатно делумно </w:t>
      </w:r>
      <w:r>
        <w:rPr>
          <w:rFonts w:ascii="Times New Roman" w:hAnsi="Times New Roman"/>
          <w:color w:val="000000"/>
          <w:sz w:val="24"/>
          <w:szCs w:val="24"/>
        </w:rPr>
        <w:t>е последица на прекинувањето со</w:t>
      </w:r>
      <w:r w:rsidRPr="009C5D97">
        <w:rPr>
          <w:rFonts w:ascii="Times New Roman" w:hAnsi="Times New Roman"/>
          <w:color w:val="000000"/>
          <w:sz w:val="24"/>
          <w:szCs w:val="24"/>
        </w:rPr>
        <w:t xml:space="preserve"> </w:t>
      </w:r>
      <w:r>
        <w:rPr>
          <w:rFonts w:ascii="Times New Roman" w:hAnsi="Times New Roman"/>
          <w:color w:val="000000"/>
          <w:sz w:val="24"/>
          <w:szCs w:val="24"/>
        </w:rPr>
        <w:t>работа</w:t>
      </w:r>
      <w:r w:rsidRPr="009C5D97">
        <w:rPr>
          <w:rFonts w:ascii="Times New Roman" w:hAnsi="Times New Roman"/>
          <w:color w:val="000000"/>
          <w:sz w:val="24"/>
          <w:szCs w:val="24"/>
        </w:rPr>
        <w:t xml:space="preserve"> со скратено работно време по пандемијата и забрзувањето на производството. Градежниот сектор учествува во вкупните вработувања со 6,5%, како и во 2021 година, а уделот на земјоделството се намали за 1,8 пп, на годишно ниво, на 10%.</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color w:val="000000"/>
          <w:sz w:val="24"/>
          <w:szCs w:val="24"/>
          <w:u w:val="single"/>
        </w:rPr>
        <w:t>Економска интеграција со ЕУ и конкурентност на цените</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b/>
          <w:bCs/>
          <w:color w:val="000000"/>
          <w:sz w:val="24"/>
          <w:szCs w:val="24"/>
        </w:rPr>
        <w:t xml:space="preserve">Трговската отвореност </w:t>
      </w:r>
      <w:r>
        <w:rPr>
          <w:rFonts w:ascii="Times New Roman" w:hAnsi="Times New Roman"/>
          <w:b/>
          <w:bCs/>
          <w:color w:val="000000"/>
          <w:sz w:val="24"/>
          <w:szCs w:val="24"/>
        </w:rPr>
        <w:t>бележи значителен напредок</w:t>
      </w:r>
      <w:r w:rsidRPr="009C5D97">
        <w:rPr>
          <w:rFonts w:ascii="Times New Roman" w:hAnsi="Times New Roman"/>
          <w:b/>
          <w:bCs/>
          <w:color w:val="000000"/>
          <w:sz w:val="24"/>
          <w:szCs w:val="24"/>
        </w:rPr>
        <w:t xml:space="preserve"> поради растот на извозот и на увозот. </w:t>
      </w:r>
      <w:r w:rsidRPr="009C5D97">
        <w:rPr>
          <w:rFonts w:ascii="Times New Roman" w:hAnsi="Times New Roman"/>
          <w:color w:val="000000"/>
          <w:sz w:val="24"/>
          <w:szCs w:val="24"/>
        </w:rPr>
        <w:t>Економијата постигна</w:t>
      </w:r>
      <w:r>
        <w:rPr>
          <w:rFonts w:ascii="Times New Roman" w:hAnsi="Times New Roman"/>
          <w:color w:val="000000"/>
          <w:sz w:val="24"/>
          <w:szCs w:val="24"/>
        </w:rPr>
        <w:t>ла</w:t>
      </w:r>
      <w:r w:rsidRPr="009C5D97">
        <w:rPr>
          <w:rFonts w:ascii="Times New Roman" w:hAnsi="Times New Roman"/>
          <w:color w:val="000000"/>
          <w:sz w:val="24"/>
          <w:szCs w:val="24"/>
        </w:rPr>
        <w:t xml:space="preserve"> големо зголемување во трговската отвореност (извози и увози на стоки и услуги како удел во БДП) во 2022 година, на рекордно ниво од </w:t>
      </w:r>
      <w:r w:rsidRPr="00382B0A">
        <w:rPr>
          <w:rFonts w:ascii="Times New Roman" w:hAnsi="Times New Roman"/>
          <w:color w:val="000000"/>
          <w:sz w:val="24"/>
          <w:szCs w:val="24"/>
        </w:rPr>
        <w:t xml:space="preserve">171 % </w:t>
      </w:r>
      <w:r>
        <w:rPr>
          <w:rFonts w:ascii="Times New Roman" w:hAnsi="Times New Roman"/>
          <w:color w:val="000000"/>
          <w:sz w:val="24"/>
          <w:szCs w:val="24"/>
        </w:rPr>
        <w:t>(</w:t>
      </w:r>
      <w:r w:rsidRPr="00382B0A">
        <w:rPr>
          <w:rFonts w:ascii="Times New Roman" w:hAnsi="Times New Roman"/>
          <w:color w:val="000000"/>
          <w:sz w:val="24"/>
          <w:szCs w:val="24"/>
        </w:rPr>
        <w:t>2021</w:t>
      </w:r>
      <w:r w:rsidRPr="009C5D97">
        <w:rPr>
          <w:rFonts w:ascii="Times New Roman" w:hAnsi="Times New Roman"/>
          <w:color w:val="000000"/>
          <w:sz w:val="24"/>
          <w:szCs w:val="24"/>
        </w:rPr>
        <w:t>: 148,</w:t>
      </w:r>
      <w:r>
        <w:rPr>
          <w:rFonts w:ascii="Times New Roman" w:hAnsi="Times New Roman"/>
          <w:color w:val="000000"/>
          <w:sz w:val="24"/>
          <w:szCs w:val="24"/>
        </w:rPr>
        <w:t xml:space="preserve"> </w:t>
      </w:r>
      <w:r w:rsidRPr="009C5D97">
        <w:rPr>
          <w:rFonts w:ascii="Times New Roman" w:hAnsi="Times New Roman"/>
          <w:color w:val="000000"/>
          <w:sz w:val="24"/>
          <w:szCs w:val="24"/>
        </w:rPr>
        <w:t xml:space="preserve">5%, </w:t>
      </w:r>
      <w:r w:rsidRPr="00382B0A">
        <w:rPr>
          <w:rFonts w:ascii="Times New Roman" w:hAnsi="Times New Roman"/>
          <w:color w:val="000000"/>
          <w:sz w:val="24"/>
          <w:szCs w:val="24"/>
        </w:rPr>
        <w:t>2015-19</w:t>
      </w:r>
      <w:r w:rsidRPr="009C5D97">
        <w:rPr>
          <w:rFonts w:ascii="Times New Roman" w:hAnsi="Times New Roman"/>
          <w:color w:val="000000"/>
          <w:sz w:val="24"/>
          <w:szCs w:val="24"/>
        </w:rPr>
        <w:t xml:space="preserve"> просек: 120</w:t>
      </w:r>
      <w:r>
        <w:rPr>
          <w:rFonts w:ascii="Times New Roman" w:hAnsi="Times New Roman"/>
          <w:color w:val="000000"/>
          <w:sz w:val="24"/>
          <w:szCs w:val="24"/>
        </w:rPr>
        <w:t xml:space="preserve"> </w:t>
      </w:r>
      <w:r w:rsidRPr="009C5D97">
        <w:rPr>
          <w:rFonts w:ascii="Times New Roman" w:hAnsi="Times New Roman"/>
          <w:color w:val="000000"/>
          <w:sz w:val="24"/>
          <w:szCs w:val="24"/>
        </w:rPr>
        <w:t>%) што е апсолутно највисоко ниво на Западен Балкан. Трговските вредности се зголеми</w:t>
      </w:r>
      <w:r>
        <w:rPr>
          <w:rFonts w:ascii="Times New Roman" w:hAnsi="Times New Roman"/>
          <w:color w:val="000000"/>
          <w:sz w:val="24"/>
          <w:szCs w:val="24"/>
        </w:rPr>
        <w:t>ле</w:t>
      </w:r>
      <w:r w:rsidRPr="009C5D97">
        <w:rPr>
          <w:rFonts w:ascii="Times New Roman" w:hAnsi="Times New Roman"/>
          <w:color w:val="000000"/>
          <w:sz w:val="24"/>
          <w:szCs w:val="24"/>
        </w:rPr>
        <w:t xml:space="preserve"> за повеќе од номиналниот БДП во 2022 година што во голема мера </w:t>
      </w:r>
      <w:r w:rsidRPr="00382B0A">
        <w:rPr>
          <w:rFonts w:ascii="Times New Roman" w:hAnsi="Times New Roman"/>
          <w:color w:val="000000"/>
          <w:sz w:val="24"/>
          <w:szCs w:val="24"/>
        </w:rPr>
        <w:t>го отсликува</w:t>
      </w:r>
      <w:r w:rsidRPr="009C5D97">
        <w:rPr>
          <w:rFonts w:ascii="Times New Roman" w:hAnsi="Times New Roman"/>
          <w:color w:val="000000"/>
          <w:sz w:val="24"/>
          <w:szCs w:val="24"/>
        </w:rPr>
        <w:t xml:space="preserve"> </w:t>
      </w:r>
      <w:r>
        <w:rPr>
          <w:rFonts w:ascii="Times New Roman" w:hAnsi="Times New Roman"/>
          <w:color w:val="000000"/>
          <w:sz w:val="24"/>
          <w:szCs w:val="24"/>
        </w:rPr>
        <w:t>брзиот</w:t>
      </w:r>
      <w:r w:rsidRPr="009C5D97">
        <w:rPr>
          <w:rFonts w:ascii="Times New Roman" w:hAnsi="Times New Roman"/>
          <w:color w:val="000000"/>
          <w:sz w:val="24"/>
          <w:szCs w:val="24"/>
        </w:rPr>
        <w:t xml:space="preserve"> раст на увоз</w:t>
      </w:r>
      <w:r>
        <w:rPr>
          <w:rFonts w:ascii="Times New Roman" w:hAnsi="Times New Roman"/>
          <w:color w:val="000000"/>
          <w:sz w:val="24"/>
          <w:szCs w:val="24"/>
        </w:rPr>
        <w:t>от</w:t>
      </w:r>
      <w:r w:rsidRPr="009C5D97">
        <w:rPr>
          <w:rFonts w:ascii="Times New Roman" w:hAnsi="Times New Roman"/>
          <w:color w:val="000000"/>
          <w:sz w:val="24"/>
          <w:szCs w:val="24"/>
        </w:rPr>
        <w:t xml:space="preserve"> на енергија, но исто така и големото зголемување на извозните вредности. Уделот на производи со повисока додадена вредност во структурата на извозот дополнително се зголеми</w:t>
      </w:r>
      <w:r>
        <w:rPr>
          <w:rFonts w:ascii="Times New Roman" w:hAnsi="Times New Roman"/>
          <w:color w:val="000000"/>
          <w:sz w:val="24"/>
          <w:szCs w:val="24"/>
        </w:rPr>
        <w:t>л</w:t>
      </w:r>
      <w:r w:rsidRPr="009C5D97">
        <w:rPr>
          <w:rFonts w:ascii="Times New Roman" w:hAnsi="Times New Roman"/>
          <w:color w:val="000000"/>
          <w:sz w:val="24"/>
          <w:szCs w:val="24"/>
        </w:rPr>
        <w:t xml:space="preserve"> во 2022 година, вклуч</w:t>
      </w:r>
      <w:r>
        <w:rPr>
          <w:rFonts w:ascii="Times New Roman" w:hAnsi="Times New Roman"/>
          <w:color w:val="000000"/>
          <w:sz w:val="24"/>
          <w:szCs w:val="24"/>
        </w:rPr>
        <w:t>ително</w:t>
      </w:r>
      <w:r w:rsidRPr="009C5D97">
        <w:rPr>
          <w:rFonts w:ascii="Times New Roman" w:hAnsi="Times New Roman"/>
          <w:color w:val="000000"/>
          <w:sz w:val="24"/>
          <w:szCs w:val="24"/>
        </w:rPr>
        <w:t xml:space="preserve"> хемикалии (32</w:t>
      </w:r>
      <w:r>
        <w:rPr>
          <w:rFonts w:ascii="Times New Roman" w:hAnsi="Times New Roman"/>
          <w:color w:val="000000"/>
          <w:sz w:val="24"/>
          <w:szCs w:val="24"/>
        </w:rPr>
        <w:t xml:space="preserve"> </w:t>
      </w:r>
      <w:r w:rsidRPr="009C5D97">
        <w:rPr>
          <w:rFonts w:ascii="Times New Roman" w:hAnsi="Times New Roman"/>
          <w:color w:val="000000"/>
          <w:sz w:val="24"/>
          <w:szCs w:val="24"/>
        </w:rPr>
        <w:t>% од вкупниот извоз) и машин</w:t>
      </w:r>
      <w:r>
        <w:rPr>
          <w:rFonts w:ascii="Times New Roman" w:hAnsi="Times New Roman"/>
          <w:color w:val="000000"/>
          <w:sz w:val="24"/>
          <w:szCs w:val="24"/>
        </w:rPr>
        <w:t>ерија</w:t>
      </w:r>
      <w:r w:rsidRPr="009C5D97">
        <w:rPr>
          <w:rFonts w:ascii="Times New Roman" w:hAnsi="Times New Roman"/>
          <w:color w:val="000000"/>
          <w:sz w:val="24"/>
          <w:szCs w:val="24"/>
        </w:rPr>
        <w:t xml:space="preserve"> и </w:t>
      </w:r>
      <w:r>
        <w:rPr>
          <w:rFonts w:ascii="Times New Roman" w:hAnsi="Times New Roman"/>
          <w:color w:val="000000"/>
          <w:sz w:val="24"/>
          <w:szCs w:val="24"/>
        </w:rPr>
        <w:t xml:space="preserve">транспортна </w:t>
      </w:r>
      <w:r w:rsidRPr="009C5D97">
        <w:rPr>
          <w:rFonts w:ascii="Times New Roman" w:hAnsi="Times New Roman"/>
          <w:color w:val="000000"/>
          <w:sz w:val="24"/>
          <w:szCs w:val="24"/>
        </w:rPr>
        <w:t>опрема (31</w:t>
      </w:r>
      <w:r>
        <w:rPr>
          <w:rFonts w:ascii="Times New Roman" w:hAnsi="Times New Roman"/>
          <w:color w:val="000000"/>
          <w:sz w:val="24"/>
          <w:szCs w:val="24"/>
        </w:rPr>
        <w:t xml:space="preserve"> </w:t>
      </w:r>
      <w:r w:rsidRPr="009C5D97">
        <w:rPr>
          <w:rFonts w:ascii="Times New Roman" w:hAnsi="Times New Roman"/>
          <w:color w:val="000000"/>
          <w:sz w:val="24"/>
          <w:szCs w:val="24"/>
        </w:rPr>
        <w:t>%), на сметка на традиционалниот извоз</w:t>
      </w:r>
      <w:r>
        <w:rPr>
          <w:rFonts w:ascii="Times New Roman" w:hAnsi="Times New Roman"/>
          <w:color w:val="000000"/>
          <w:sz w:val="24"/>
          <w:szCs w:val="24"/>
        </w:rPr>
        <w:t>,</w:t>
      </w:r>
      <w:r w:rsidRPr="009C5D97">
        <w:rPr>
          <w:rFonts w:ascii="Times New Roman" w:hAnsi="Times New Roman"/>
          <w:color w:val="000000"/>
          <w:sz w:val="24"/>
          <w:szCs w:val="24"/>
        </w:rPr>
        <w:t xml:space="preserve"> како што се железо и текстил (под 20</w:t>
      </w:r>
      <w:r>
        <w:rPr>
          <w:rFonts w:ascii="Times New Roman" w:hAnsi="Times New Roman"/>
          <w:color w:val="000000"/>
          <w:sz w:val="24"/>
          <w:szCs w:val="24"/>
        </w:rPr>
        <w:t xml:space="preserve"> </w:t>
      </w:r>
      <w:r w:rsidRPr="009C5D97">
        <w:rPr>
          <w:rFonts w:ascii="Times New Roman" w:hAnsi="Times New Roman"/>
          <w:color w:val="000000"/>
          <w:sz w:val="24"/>
          <w:szCs w:val="24"/>
        </w:rPr>
        <w:t>%). Во 2022 година ЕУ б</w:t>
      </w:r>
      <w:r>
        <w:rPr>
          <w:rFonts w:ascii="Times New Roman" w:hAnsi="Times New Roman"/>
          <w:color w:val="000000"/>
          <w:sz w:val="24"/>
          <w:szCs w:val="24"/>
        </w:rPr>
        <w:t>ила</w:t>
      </w:r>
      <w:r w:rsidRPr="009C5D97">
        <w:rPr>
          <w:rFonts w:ascii="Times New Roman" w:hAnsi="Times New Roman"/>
          <w:color w:val="000000"/>
          <w:sz w:val="24"/>
          <w:szCs w:val="24"/>
        </w:rPr>
        <w:t xml:space="preserve"> најзначаен трговски партнер на земјата, со 59,6</w:t>
      </w:r>
      <w:r>
        <w:rPr>
          <w:rFonts w:ascii="Times New Roman" w:hAnsi="Times New Roman"/>
          <w:color w:val="000000"/>
          <w:sz w:val="24"/>
          <w:szCs w:val="24"/>
        </w:rPr>
        <w:t xml:space="preserve"> </w:t>
      </w:r>
      <w:r w:rsidRPr="009C5D97">
        <w:rPr>
          <w:rFonts w:ascii="Times New Roman" w:hAnsi="Times New Roman"/>
          <w:color w:val="000000"/>
          <w:sz w:val="24"/>
          <w:szCs w:val="24"/>
        </w:rPr>
        <w:t>% од вкупната трговија (78,3</w:t>
      </w:r>
      <w:r>
        <w:rPr>
          <w:rFonts w:ascii="Times New Roman" w:hAnsi="Times New Roman"/>
          <w:color w:val="000000"/>
          <w:sz w:val="24"/>
          <w:szCs w:val="24"/>
        </w:rPr>
        <w:t xml:space="preserve"> </w:t>
      </w:r>
      <w:r w:rsidRPr="009C5D97">
        <w:rPr>
          <w:rFonts w:ascii="Times New Roman" w:hAnsi="Times New Roman"/>
          <w:color w:val="000000"/>
          <w:sz w:val="24"/>
          <w:szCs w:val="24"/>
        </w:rPr>
        <w:t>% од вкупниот извоз спореден со 77,3</w:t>
      </w:r>
      <w:r>
        <w:rPr>
          <w:rFonts w:ascii="Times New Roman" w:hAnsi="Times New Roman"/>
          <w:color w:val="000000"/>
          <w:sz w:val="24"/>
          <w:szCs w:val="24"/>
        </w:rPr>
        <w:t xml:space="preserve"> </w:t>
      </w:r>
      <w:r w:rsidRPr="009C5D97">
        <w:rPr>
          <w:rFonts w:ascii="Times New Roman" w:hAnsi="Times New Roman"/>
          <w:color w:val="000000"/>
          <w:sz w:val="24"/>
          <w:szCs w:val="24"/>
        </w:rPr>
        <w:t>% во 2021 година и 46,8% од вкупниот увоз во споредба со 46,2</w:t>
      </w:r>
      <w:r>
        <w:rPr>
          <w:rFonts w:ascii="Times New Roman" w:hAnsi="Times New Roman"/>
          <w:color w:val="000000"/>
          <w:sz w:val="24"/>
          <w:szCs w:val="24"/>
        </w:rPr>
        <w:t xml:space="preserve"> </w:t>
      </w:r>
      <w:r w:rsidRPr="009C5D97">
        <w:rPr>
          <w:rFonts w:ascii="Times New Roman" w:hAnsi="Times New Roman"/>
          <w:color w:val="000000"/>
          <w:sz w:val="24"/>
          <w:szCs w:val="24"/>
        </w:rPr>
        <w:t xml:space="preserve">% во 2021 година). </w:t>
      </w:r>
      <w:r>
        <w:rPr>
          <w:rFonts w:ascii="Times New Roman" w:hAnsi="Times New Roman"/>
          <w:color w:val="000000"/>
          <w:sz w:val="24"/>
          <w:szCs w:val="24"/>
        </w:rPr>
        <w:t>В</w:t>
      </w:r>
      <w:r w:rsidRPr="009C5D97">
        <w:rPr>
          <w:rFonts w:ascii="Times New Roman" w:hAnsi="Times New Roman"/>
          <w:color w:val="000000"/>
          <w:sz w:val="24"/>
          <w:szCs w:val="24"/>
        </w:rPr>
        <w:t>тор најважен трговски партнер е регионот ЦЕФТА, Средноевропски</w:t>
      </w:r>
      <w:r>
        <w:rPr>
          <w:rFonts w:ascii="Times New Roman" w:hAnsi="Times New Roman"/>
          <w:color w:val="000000"/>
          <w:sz w:val="24"/>
          <w:szCs w:val="24"/>
        </w:rPr>
        <w:t>от</w:t>
      </w:r>
      <w:r w:rsidRPr="009C5D97">
        <w:rPr>
          <w:rFonts w:ascii="Times New Roman" w:hAnsi="Times New Roman"/>
          <w:color w:val="000000"/>
          <w:sz w:val="24"/>
          <w:szCs w:val="24"/>
        </w:rPr>
        <w:t xml:space="preserve"> договор за слободна трговија, со 10</w:t>
      </w:r>
      <w:r>
        <w:rPr>
          <w:rFonts w:ascii="Times New Roman" w:hAnsi="Times New Roman"/>
          <w:color w:val="000000"/>
          <w:sz w:val="24"/>
          <w:szCs w:val="24"/>
        </w:rPr>
        <w:t xml:space="preserve"> </w:t>
      </w:r>
      <w:r w:rsidRPr="009C5D97">
        <w:rPr>
          <w:rFonts w:ascii="Times New Roman" w:hAnsi="Times New Roman"/>
          <w:color w:val="000000"/>
          <w:sz w:val="24"/>
          <w:szCs w:val="24"/>
        </w:rPr>
        <w:t>% од вкупната трговија, со малку поголем удел во извозот и малку помал удел во увозот од претходната година (12,1</w:t>
      </w:r>
      <w:r>
        <w:rPr>
          <w:rFonts w:ascii="Times New Roman" w:hAnsi="Times New Roman"/>
          <w:color w:val="000000"/>
          <w:sz w:val="24"/>
          <w:szCs w:val="24"/>
        </w:rPr>
        <w:t xml:space="preserve"> </w:t>
      </w:r>
      <w:r w:rsidRPr="009C5D97">
        <w:rPr>
          <w:rFonts w:ascii="Times New Roman" w:hAnsi="Times New Roman"/>
          <w:color w:val="000000"/>
          <w:sz w:val="24"/>
          <w:szCs w:val="24"/>
        </w:rPr>
        <w:t>% од вкупниот извоз и 8,6</w:t>
      </w:r>
      <w:r>
        <w:rPr>
          <w:rFonts w:ascii="Times New Roman" w:hAnsi="Times New Roman"/>
          <w:color w:val="000000"/>
          <w:sz w:val="24"/>
          <w:szCs w:val="24"/>
        </w:rPr>
        <w:t xml:space="preserve"> </w:t>
      </w:r>
      <w:r w:rsidRPr="009C5D97">
        <w:rPr>
          <w:rFonts w:ascii="Times New Roman" w:hAnsi="Times New Roman"/>
          <w:color w:val="000000"/>
          <w:sz w:val="24"/>
          <w:szCs w:val="24"/>
        </w:rPr>
        <w:t>% од вкупниот увоз). Земјите на ЕУ</w:t>
      </w:r>
      <w:r>
        <w:rPr>
          <w:rFonts w:ascii="Times New Roman" w:hAnsi="Times New Roman"/>
          <w:color w:val="000000"/>
          <w:sz w:val="24"/>
          <w:szCs w:val="24"/>
        </w:rPr>
        <w:t>,</w:t>
      </w:r>
      <w:r w:rsidRPr="009C5D97">
        <w:rPr>
          <w:rFonts w:ascii="Times New Roman" w:hAnsi="Times New Roman"/>
          <w:color w:val="000000"/>
          <w:sz w:val="24"/>
          <w:szCs w:val="24"/>
        </w:rPr>
        <w:t xml:space="preserve"> </w:t>
      </w:r>
      <w:r>
        <w:rPr>
          <w:rFonts w:ascii="Times New Roman" w:hAnsi="Times New Roman"/>
          <w:color w:val="000000"/>
          <w:sz w:val="24"/>
          <w:szCs w:val="24"/>
        </w:rPr>
        <w:t>и понатаму се</w:t>
      </w:r>
      <w:r w:rsidRPr="009C5D97">
        <w:rPr>
          <w:rFonts w:ascii="Times New Roman" w:hAnsi="Times New Roman"/>
          <w:color w:val="000000"/>
          <w:sz w:val="24"/>
          <w:szCs w:val="24"/>
        </w:rPr>
        <w:t xml:space="preserve"> најголеми инвеститори во Северна Македонија со околу 50</w:t>
      </w:r>
      <w:r>
        <w:rPr>
          <w:rFonts w:ascii="Times New Roman" w:hAnsi="Times New Roman"/>
          <w:color w:val="000000"/>
          <w:sz w:val="24"/>
          <w:szCs w:val="24"/>
        </w:rPr>
        <w:t xml:space="preserve"> </w:t>
      </w:r>
      <w:r w:rsidRPr="009C5D97">
        <w:rPr>
          <w:rFonts w:ascii="Times New Roman" w:hAnsi="Times New Roman"/>
          <w:color w:val="000000"/>
          <w:sz w:val="24"/>
          <w:szCs w:val="24"/>
        </w:rPr>
        <w:t>% од вкупните приливи на СДИ во 2022 година (2021 година: 56</w:t>
      </w:r>
      <w:r>
        <w:rPr>
          <w:rFonts w:ascii="Times New Roman" w:hAnsi="Times New Roman"/>
          <w:color w:val="000000"/>
          <w:sz w:val="24"/>
          <w:szCs w:val="24"/>
        </w:rPr>
        <w:t xml:space="preserve"> </w:t>
      </w:r>
      <w:r w:rsidRPr="009C5D97">
        <w:rPr>
          <w:rFonts w:ascii="Times New Roman" w:hAnsi="Times New Roman"/>
          <w:color w:val="000000"/>
          <w:sz w:val="24"/>
          <w:szCs w:val="24"/>
        </w:rPr>
        <w:t>%</w:t>
      </w:r>
      <w:r w:rsidRPr="00382B0A">
        <w:rPr>
          <w:rFonts w:ascii="Times New Roman" w:hAnsi="Times New Roman"/>
          <w:color w:val="000000"/>
          <w:sz w:val="24"/>
          <w:szCs w:val="24"/>
        </w:rPr>
        <w:t>)</w:t>
      </w:r>
      <w:r w:rsidRPr="009C5D97">
        <w:rPr>
          <w:rFonts w:ascii="Times New Roman" w:hAnsi="Times New Roman"/>
          <w:color w:val="000000"/>
          <w:sz w:val="24"/>
          <w:szCs w:val="24"/>
        </w:rPr>
        <w:t>, но уделот на ЕУ-27 во вкупниот број директни инвестиции се намали</w:t>
      </w:r>
      <w:r>
        <w:rPr>
          <w:rFonts w:ascii="Times New Roman" w:hAnsi="Times New Roman"/>
          <w:color w:val="000000"/>
          <w:sz w:val="24"/>
          <w:szCs w:val="24"/>
        </w:rPr>
        <w:t>л</w:t>
      </w:r>
      <w:r w:rsidRPr="009C5D97">
        <w:rPr>
          <w:rFonts w:ascii="Times New Roman" w:hAnsi="Times New Roman"/>
          <w:color w:val="000000"/>
          <w:sz w:val="24"/>
          <w:szCs w:val="24"/>
        </w:rPr>
        <w:t xml:space="preserve"> на 64</w:t>
      </w:r>
      <w:r>
        <w:rPr>
          <w:rFonts w:ascii="Times New Roman" w:hAnsi="Times New Roman"/>
          <w:color w:val="000000"/>
          <w:sz w:val="24"/>
          <w:szCs w:val="24"/>
        </w:rPr>
        <w:t xml:space="preserve"> </w:t>
      </w:r>
      <w:r w:rsidRPr="009C5D97">
        <w:rPr>
          <w:rFonts w:ascii="Times New Roman" w:hAnsi="Times New Roman"/>
          <w:color w:val="000000"/>
          <w:sz w:val="24"/>
          <w:szCs w:val="24"/>
        </w:rPr>
        <w:t>% на крајот од 2021 година, во споредба со 66</w:t>
      </w:r>
      <w:r>
        <w:rPr>
          <w:rFonts w:ascii="Times New Roman" w:hAnsi="Times New Roman"/>
          <w:color w:val="000000"/>
          <w:sz w:val="24"/>
          <w:szCs w:val="24"/>
        </w:rPr>
        <w:t xml:space="preserve"> </w:t>
      </w:r>
      <w:r w:rsidRPr="009C5D97">
        <w:rPr>
          <w:rFonts w:ascii="Times New Roman" w:hAnsi="Times New Roman"/>
          <w:color w:val="000000"/>
          <w:sz w:val="24"/>
          <w:szCs w:val="24"/>
        </w:rPr>
        <w:t>% во 2015 година.</w:t>
      </w:r>
    </w:p>
    <w:p w:rsidR="009768C4" w:rsidRPr="009C5D97" w:rsidRDefault="007E0AA8" w:rsidP="00A661C4">
      <w:pPr>
        <w:framePr w:h="2779" w:hSpace="10080" w:wrap="notBeside" w:vAnchor="text" w:hAnchor="margin" w:x="1" w:y="1"/>
        <w:widowControl w:val="0"/>
        <w:autoSpaceDE w:val="0"/>
        <w:autoSpaceDN w:val="0"/>
        <w:adjustRightInd w:val="0"/>
        <w:spacing w:after="0" w:line="240" w:lineRule="auto"/>
        <w:rPr>
          <w:rFonts w:ascii="Times New Roman" w:eastAsia="Times New Roman" w:hAnsi="Times New Roman"/>
          <w:sz w:val="24"/>
          <w:szCs w:val="24"/>
        </w:rPr>
      </w:pPr>
      <w:r>
        <w:rPr>
          <w:rFonts w:ascii="Times New Roman" w:hAnsi="Times New Roman"/>
          <w:noProof/>
          <w:sz w:val="24"/>
          <w:szCs w:val="24"/>
          <w:lang w:val="en-GB" w:eastAsia="en-GB"/>
        </w:rPr>
        <w:drawing>
          <wp:inline distT="0" distB="0" distL="0" distR="0" wp14:anchorId="7381FE26">
            <wp:extent cx="5727700" cy="1752600"/>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7700" cy="1752600"/>
                    </a:xfrm>
                    <a:prstGeom prst="rect">
                      <a:avLst/>
                    </a:prstGeom>
                    <a:noFill/>
                    <a:ln>
                      <a:noFill/>
                    </a:ln>
                  </pic:spPr>
                </pic:pic>
              </a:graphicData>
            </a:graphic>
          </wp:inline>
        </w:drawing>
      </w:r>
    </w:p>
    <w:p w:rsidR="009768C4" w:rsidRPr="009C5D97" w:rsidRDefault="009768C4" w:rsidP="00A661C4">
      <w:pPr>
        <w:framePr w:h="225" w:hRule="exact" w:hSpace="10080" w:wrap="notBeside" w:vAnchor="text" w:hAnchor="margin" w:x="5214" w:y="102"/>
        <w:widowControl w:val="0"/>
        <w:shd w:val="clear" w:color="auto" w:fill="FFFFFF"/>
        <w:autoSpaceDE w:val="0"/>
        <w:autoSpaceDN w:val="0"/>
        <w:adjustRightInd w:val="0"/>
        <w:spacing w:after="0" w:line="240" w:lineRule="auto"/>
        <w:rPr>
          <w:rFonts w:ascii="Arial" w:eastAsia="Times New Roman" w:hAnsi="Arial" w:cs="Arial"/>
          <w:sz w:val="20"/>
          <w:szCs w:val="20"/>
        </w:rPr>
      </w:pPr>
      <w:r w:rsidRPr="009C5D97">
        <w:rPr>
          <w:rFonts w:ascii="Times New Roman" w:hAnsi="Times New Roman"/>
          <w:i/>
          <w:iCs/>
          <w:color w:val="000000"/>
          <w:sz w:val="16"/>
          <w:szCs w:val="16"/>
        </w:rPr>
        <w:t xml:space="preserve">Графикон 3.5б: </w:t>
      </w:r>
      <w:r w:rsidRPr="009C5D97">
        <w:rPr>
          <w:rFonts w:ascii="Times New Roman" w:hAnsi="Times New Roman"/>
          <w:b/>
          <w:bCs/>
          <w:color w:val="000000"/>
          <w:sz w:val="16"/>
          <w:szCs w:val="16"/>
        </w:rPr>
        <w:t>С.</w:t>
      </w:r>
      <w:r>
        <w:rPr>
          <w:rFonts w:ascii="Times New Roman" w:hAnsi="Times New Roman"/>
          <w:b/>
          <w:bCs/>
          <w:color w:val="000000"/>
          <w:sz w:val="16"/>
          <w:szCs w:val="16"/>
        </w:rPr>
        <w:t xml:space="preserve"> </w:t>
      </w:r>
      <w:r w:rsidRPr="009C5D97">
        <w:rPr>
          <w:rFonts w:ascii="Times New Roman" w:hAnsi="Times New Roman"/>
          <w:b/>
          <w:bCs/>
          <w:color w:val="000000"/>
          <w:sz w:val="16"/>
          <w:szCs w:val="16"/>
        </w:rPr>
        <w:t>Македонија – увоз на стоки</w:t>
      </w:r>
    </w:p>
    <w:p w:rsidR="009768C4" w:rsidRPr="009C5D97" w:rsidRDefault="009768C4" w:rsidP="00A661C4">
      <w:pPr>
        <w:framePr w:h="225" w:hRule="exact" w:hSpace="10080" w:wrap="notBeside" w:vAnchor="text" w:hAnchor="margin" w:x="764" w:y="107"/>
        <w:widowControl w:val="0"/>
        <w:shd w:val="clear" w:color="auto" w:fill="FFFFFF"/>
        <w:autoSpaceDE w:val="0"/>
        <w:autoSpaceDN w:val="0"/>
        <w:adjustRightInd w:val="0"/>
        <w:spacing w:after="0" w:line="240" w:lineRule="auto"/>
        <w:rPr>
          <w:rFonts w:ascii="Arial" w:eastAsia="Times New Roman" w:hAnsi="Arial" w:cs="Arial"/>
          <w:sz w:val="20"/>
          <w:szCs w:val="20"/>
        </w:rPr>
      </w:pPr>
      <w:r w:rsidRPr="009C5D97">
        <w:rPr>
          <w:rFonts w:ascii="Times New Roman" w:hAnsi="Times New Roman"/>
          <w:i/>
          <w:iCs/>
          <w:color w:val="000000"/>
          <w:sz w:val="16"/>
          <w:szCs w:val="16"/>
        </w:rPr>
        <w:t xml:space="preserve">Графикон 3.5а: </w:t>
      </w:r>
      <w:r w:rsidRPr="009C5D97">
        <w:rPr>
          <w:rFonts w:ascii="Times New Roman" w:hAnsi="Times New Roman"/>
          <w:b/>
          <w:bCs/>
          <w:color w:val="000000"/>
          <w:sz w:val="16"/>
          <w:szCs w:val="16"/>
        </w:rPr>
        <w:t>С.</w:t>
      </w:r>
      <w:r>
        <w:rPr>
          <w:rFonts w:ascii="Times New Roman" w:hAnsi="Times New Roman"/>
          <w:b/>
          <w:bCs/>
          <w:color w:val="000000"/>
          <w:sz w:val="16"/>
          <w:szCs w:val="16"/>
        </w:rPr>
        <w:t xml:space="preserve"> </w:t>
      </w:r>
      <w:r w:rsidRPr="009C5D97">
        <w:rPr>
          <w:rFonts w:ascii="Times New Roman" w:hAnsi="Times New Roman"/>
          <w:b/>
          <w:bCs/>
          <w:color w:val="000000"/>
          <w:sz w:val="16"/>
          <w:szCs w:val="16"/>
        </w:rPr>
        <w:t>Македонија – извоз на стоки</w:t>
      </w:r>
    </w:p>
    <w:p w:rsidR="009768C4" w:rsidRPr="009C5D97" w:rsidRDefault="009768C4" w:rsidP="00A661C4">
      <w:pPr>
        <w:framePr w:h="139" w:hRule="exact" w:hSpace="10080" w:wrap="notBeside" w:vAnchor="text" w:hAnchor="margin" w:x="611" w:y="428"/>
        <w:widowControl w:val="0"/>
        <w:shd w:val="clear" w:color="auto" w:fill="FFFFFF"/>
        <w:autoSpaceDE w:val="0"/>
        <w:autoSpaceDN w:val="0"/>
        <w:adjustRightInd w:val="0"/>
        <w:spacing w:after="0" w:line="240" w:lineRule="auto"/>
        <w:rPr>
          <w:rFonts w:ascii="Arial" w:eastAsia="Times New Roman" w:hAnsi="Arial" w:cs="Arial"/>
          <w:sz w:val="20"/>
          <w:szCs w:val="20"/>
        </w:rPr>
      </w:pPr>
      <w:r w:rsidRPr="009C5D97">
        <w:rPr>
          <w:rFonts w:ascii="Arial" w:hAnsi="Arial"/>
          <w:color w:val="000000"/>
          <w:sz w:val="12"/>
          <w:szCs w:val="12"/>
        </w:rPr>
        <w:t>од БДП</w:t>
      </w:r>
    </w:p>
    <w:p w:rsidR="009768C4" w:rsidRPr="009C5D97" w:rsidRDefault="009768C4" w:rsidP="00A661C4">
      <w:pPr>
        <w:framePr w:h="139" w:hRule="exact" w:hSpace="10080" w:wrap="notBeside" w:vAnchor="text" w:hAnchor="margin" w:x="5185" w:y="433"/>
        <w:widowControl w:val="0"/>
        <w:shd w:val="clear" w:color="auto" w:fill="FFFFFF"/>
        <w:autoSpaceDE w:val="0"/>
        <w:autoSpaceDN w:val="0"/>
        <w:adjustRightInd w:val="0"/>
        <w:spacing w:after="0" w:line="240" w:lineRule="auto"/>
        <w:rPr>
          <w:rFonts w:ascii="Arial" w:eastAsia="Times New Roman" w:hAnsi="Arial" w:cs="Arial"/>
          <w:sz w:val="20"/>
          <w:szCs w:val="20"/>
        </w:rPr>
      </w:pPr>
      <w:r w:rsidRPr="009C5D97">
        <w:rPr>
          <w:rFonts w:ascii="Arial" w:hAnsi="Arial"/>
          <w:b/>
          <w:bCs/>
          <w:color w:val="000000"/>
          <w:sz w:val="12"/>
          <w:szCs w:val="12"/>
        </w:rPr>
        <w:t>3</w:t>
      </w:r>
      <w:r w:rsidRPr="009C5D97">
        <w:rPr>
          <w:rFonts w:ascii="Arial" w:hAnsi="Arial"/>
          <w:color w:val="000000"/>
          <w:sz w:val="12"/>
          <w:szCs w:val="12"/>
        </w:rPr>
        <w:t>од БДП</w:t>
      </w:r>
    </w:p>
    <w:p w:rsidR="009768C4" w:rsidRPr="009C5D97" w:rsidRDefault="009768C4" w:rsidP="00A661C4">
      <w:pPr>
        <w:framePr w:h="188" w:hRule="exact" w:hSpace="10080" w:wrap="notBeside" w:vAnchor="text" w:hAnchor="margin" w:x="332" w:y="2391"/>
        <w:widowControl w:val="0"/>
        <w:shd w:val="clear" w:color="auto" w:fill="FFFFFF"/>
        <w:autoSpaceDE w:val="0"/>
        <w:autoSpaceDN w:val="0"/>
        <w:adjustRightInd w:val="0"/>
        <w:spacing w:after="0" w:line="240" w:lineRule="auto"/>
        <w:rPr>
          <w:rFonts w:ascii="Arial" w:eastAsia="Times New Roman" w:hAnsi="Arial" w:cs="Arial"/>
          <w:sz w:val="20"/>
          <w:szCs w:val="20"/>
        </w:rPr>
      </w:pPr>
      <w:r w:rsidRPr="009C5D97">
        <w:rPr>
          <w:rFonts w:ascii="Arial" w:hAnsi="Arial"/>
          <w:color w:val="000000"/>
          <w:sz w:val="14"/>
          <w:szCs w:val="14"/>
        </w:rPr>
        <w:t>ЕУ</w:t>
      </w:r>
    </w:p>
    <w:p w:rsidR="009768C4" w:rsidRPr="009C5D97" w:rsidRDefault="009768C4" w:rsidP="00A661C4">
      <w:pPr>
        <w:framePr w:h="139" w:hRule="exact" w:hSpace="10080" w:wrap="notBeside" w:vAnchor="text" w:hAnchor="margin" w:x="625" w:y="2425"/>
        <w:widowControl w:val="0"/>
        <w:shd w:val="clear" w:color="auto" w:fill="FFFFFF"/>
        <w:autoSpaceDE w:val="0"/>
        <w:autoSpaceDN w:val="0"/>
        <w:adjustRightInd w:val="0"/>
        <w:spacing w:after="0" w:line="240" w:lineRule="auto"/>
        <w:rPr>
          <w:rFonts w:ascii="Arial" w:eastAsia="Times New Roman" w:hAnsi="Arial" w:cs="Arial"/>
          <w:sz w:val="20"/>
          <w:szCs w:val="20"/>
        </w:rPr>
      </w:pPr>
      <w:r w:rsidRPr="009C5D97">
        <w:rPr>
          <w:rFonts w:ascii="Arial" w:hAnsi="Arial"/>
          <w:color w:val="000000"/>
          <w:sz w:val="12"/>
          <w:szCs w:val="12"/>
        </w:rPr>
        <w:t>ЦЕФТА</w:t>
      </w:r>
    </w:p>
    <w:p w:rsidR="009768C4" w:rsidRPr="009C5D97" w:rsidRDefault="009768C4" w:rsidP="00A661C4">
      <w:pPr>
        <w:framePr w:h="139" w:hRule="exact" w:hSpace="10080" w:wrap="notBeside" w:vAnchor="text" w:hAnchor="margin" w:x="1182" w:y="2425"/>
        <w:widowControl w:val="0"/>
        <w:shd w:val="clear" w:color="auto" w:fill="FFFFFF"/>
        <w:autoSpaceDE w:val="0"/>
        <w:autoSpaceDN w:val="0"/>
        <w:adjustRightInd w:val="0"/>
        <w:spacing w:after="0" w:line="240" w:lineRule="auto"/>
        <w:rPr>
          <w:rFonts w:ascii="Arial" w:eastAsia="Times New Roman" w:hAnsi="Arial" w:cs="Arial"/>
          <w:sz w:val="20"/>
          <w:szCs w:val="20"/>
        </w:rPr>
      </w:pPr>
      <w:r w:rsidRPr="009C5D97">
        <w:rPr>
          <w:rFonts w:ascii="Arial" w:hAnsi="Arial"/>
          <w:color w:val="000000"/>
          <w:sz w:val="12"/>
          <w:szCs w:val="12"/>
        </w:rPr>
        <w:t>Друг</w:t>
      </w:r>
    </w:p>
    <w:p w:rsidR="009768C4" w:rsidRPr="009C5D97" w:rsidRDefault="009768C4" w:rsidP="00A661C4">
      <w:pPr>
        <w:framePr w:h="187" w:hRule="exact" w:hSpace="10080" w:wrap="notBeside" w:vAnchor="text" w:hAnchor="margin" w:x="4748" w:y="2430"/>
        <w:widowControl w:val="0"/>
        <w:shd w:val="clear" w:color="auto" w:fill="FFFFFF"/>
        <w:autoSpaceDE w:val="0"/>
        <w:autoSpaceDN w:val="0"/>
        <w:adjustRightInd w:val="0"/>
        <w:spacing w:after="0" w:line="240" w:lineRule="auto"/>
        <w:rPr>
          <w:rFonts w:ascii="Arial" w:eastAsia="Times New Roman" w:hAnsi="Arial" w:cs="Arial"/>
          <w:sz w:val="20"/>
          <w:szCs w:val="20"/>
        </w:rPr>
      </w:pPr>
      <w:r w:rsidRPr="009C5D97">
        <w:rPr>
          <w:rFonts w:ascii="Arial" w:hAnsi="Arial"/>
          <w:color w:val="000000"/>
          <w:sz w:val="14"/>
          <w:szCs w:val="14"/>
        </w:rPr>
        <w:t>ЕУ</w:t>
      </w:r>
    </w:p>
    <w:p w:rsidR="009768C4" w:rsidRPr="009C5D97" w:rsidRDefault="009768C4" w:rsidP="00A661C4">
      <w:pPr>
        <w:framePr w:h="140" w:hRule="exact" w:hSpace="10080" w:wrap="notBeside" w:vAnchor="text" w:hAnchor="margin" w:x="5118" w:y="2463"/>
        <w:widowControl w:val="0"/>
        <w:shd w:val="clear" w:color="auto" w:fill="FFFFFF"/>
        <w:autoSpaceDE w:val="0"/>
        <w:autoSpaceDN w:val="0"/>
        <w:adjustRightInd w:val="0"/>
        <w:spacing w:after="0" w:line="240" w:lineRule="auto"/>
        <w:rPr>
          <w:rFonts w:ascii="Arial" w:eastAsia="Times New Roman" w:hAnsi="Arial" w:cs="Arial"/>
          <w:sz w:val="20"/>
          <w:szCs w:val="20"/>
        </w:rPr>
      </w:pPr>
      <w:r w:rsidRPr="009C5D97">
        <w:rPr>
          <w:rFonts w:ascii="Arial" w:hAnsi="Arial"/>
          <w:color w:val="000000"/>
          <w:sz w:val="12"/>
          <w:szCs w:val="12"/>
        </w:rPr>
        <w:t>ЦЕФТА</w:t>
      </w:r>
    </w:p>
    <w:p w:rsidR="009768C4" w:rsidRPr="009C5D97" w:rsidRDefault="009768C4" w:rsidP="00A661C4">
      <w:pPr>
        <w:framePr w:h="140" w:hRule="exact" w:hSpace="10080" w:wrap="notBeside" w:vAnchor="text" w:hAnchor="margin" w:x="5689" w:y="2463"/>
        <w:widowControl w:val="0"/>
        <w:shd w:val="clear" w:color="auto" w:fill="FFFFFF"/>
        <w:autoSpaceDE w:val="0"/>
        <w:autoSpaceDN w:val="0"/>
        <w:adjustRightInd w:val="0"/>
        <w:spacing w:after="0" w:line="240" w:lineRule="auto"/>
        <w:rPr>
          <w:rFonts w:ascii="Arial" w:eastAsia="Times New Roman" w:hAnsi="Arial" w:cs="Arial"/>
          <w:sz w:val="20"/>
          <w:szCs w:val="20"/>
        </w:rPr>
      </w:pPr>
      <w:r w:rsidRPr="009C5D97">
        <w:rPr>
          <w:rFonts w:ascii="Arial" w:hAnsi="Arial"/>
          <w:color w:val="000000"/>
          <w:sz w:val="12"/>
          <w:szCs w:val="12"/>
        </w:rPr>
        <w:t>Друг</w:t>
      </w:r>
    </w:p>
    <w:p w:rsidR="009768C4" w:rsidRPr="009C5D97" w:rsidRDefault="009768C4" w:rsidP="00A661C4">
      <w:pPr>
        <w:framePr w:h="183" w:hRule="exact" w:hSpace="10080" w:wrap="notBeside" w:vAnchor="text" w:hAnchor="margin" w:x="3414" w:y="2492"/>
        <w:widowControl w:val="0"/>
        <w:shd w:val="clear" w:color="auto" w:fill="FFFFFF"/>
        <w:autoSpaceDE w:val="0"/>
        <w:autoSpaceDN w:val="0"/>
        <w:adjustRightInd w:val="0"/>
        <w:spacing w:after="0" w:line="240" w:lineRule="auto"/>
        <w:rPr>
          <w:rFonts w:ascii="Arial" w:eastAsia="Times New Roman" w:hAnsi="Arial" w:cs="Arial"/>
          <w:sz w:val="20"/>
          <w:szCs w:val="20"/>
        </w:rPr>
      </w:pPr>
      <w:r w:rsidRPr="009C5D97">
        <w:rPr>
          <w:rFonts w:ascii="Arial" w:hAnsi="Arial"/>
          <w:i/>
          <w:iCs/>
          <w:color w:val="000000"/>
          <w:sz w:val="12"/>
          <w:szCs w:val="12"/>
        </w:rPr>
        <w:t>Извор: WiiW</w:t>
      </w:r>
    </w:p>
    <w:p w:rsidR="009768C4" w:rsidRPr="009C5D97" w:rsidRDefault="009768C4" w:rsidP="00A661C4">
      <w:pPr>
        <w:framePr w:h="182" w:hRule="exact" w:hSpace="10080" w:wrap="notBeside" w:vAnchor="text" w:hAnchor="margin" w:x="7974" w:y="2507"/>
        <w:widowControl w:val="0"/>
        <w:shd w:val="clear" w:color="auto" w:fill="FFFFFF"/>
        <w:autoSpaceDE w:val="0"/>
        <w:autoSpaceDN w:val="0"/>
        <w:adjustRightInd w:val="0"/>
        <w:spacing w:after="0" w:line="240" w:lineRule="auto"/>
        <w:rPr>
          <w:rFonts w:ascii="Arial" w:eastAsia="Times New Roman" w:hAnsi="Arial" w:cs="Arial"/>
          <w:sz w:val="20"/>
          <w:szCs w:val="20"/>
        </w:rPr>
      </w:pPr>
      <w:r w:rsidRPr="009C5D97">
        <w:rPr>
          <w:rFonts w:ascii="Arial" w:hAnsi="Arial"/>
          <w:i/>
          <w:iCs/>
          <w:color w:val="000000"/>
          <w:sz w:val="12"/>
          <w:szCs w:val="12"/>
        </w:rPr>
        <w:t>Извор: WiiW</w:t>
      </w:r>
    </w:p>
    <w:p w:rsidR="009768C4" w:rsidRPr="009C5D97" w:rsidRDefault="009768C4" w:rsidP="00A661C4">
      <w:pPr>
        <w:widowControl w:val="0"/>
        <w:autoSpaceDE w:val="0"/>
        <w:autoSpaceDN w:val="0"/>
        <w:adjustRightInd w:val="0"/>
        <w:spacing w:after="0" w:line="1" w:lineRule="exact"/>
        <w:rPr>
          <w:rFonts w:ascii="Times New Roman" w:eastAsia="Times New Roman" w:hAnsi="Times New Roman"/>
          <w:sz w:val="2"/>
          <w:szCs w:val="2"/>
        </w:rPr>
      </w:pP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b/>
          <w:bCs/>
          <w:color w:val="000000"/>
          <w:sz w:val="24"/>
          <w:szCs w:val="24"/>
        </w:rPr>
        <w:t xml:space="preserve">Надворешната конкурентност благо се влоши. </w:t>
      </w:r>
      <w:r w:rsidRPr="009C5D97">
        <w:rPr>
          <w:rFonts w:ascii="Times New Roman" w:hAnsi="Times New Roman"/>
          <w:color w:val="000000"/>
          <w:sz w:val="24"/>
          <w:szCs w:val="24"/>
        </w:rPr>
        <w:t xml:space="preserve">Во 2022 година реалниот ефективен девизен курс на </w:t>
      </w:r>
      <w:r w:rsidRPr="00382B0A">
        <w:rPr>
          <w:rFonts w:ascii="Times New Roman" w:hAnsi="Times New Roman"/>
          <w:color w:val="000000"/>
          <w:sz w:val="24"/>
          <w:szCs w:val="24"/>
        </w:rPr>
        <w:t>локалната</w:t>
      </w:r>
      <w:r w:rsidRPr="009C5D97">
        <w:rPr>
          <w:rFonts w:ascii="Times New Roman" w:hAnsi="Times New Roman"/>
          <w:color w:val="000000"/>
          <w:sz w:val="24"/>
          <w:szCs w:val="24"/>
        </w:rPr>
        <w:t xml:space="preserve"> валута се зголеми</w:t>
      </w:r>
      <w:r>
        <w:rPr>
          <w:rFonts w:ascii="Times New Roman" w:hAnsi="Times New Roman"/>
          <w:color w:val="000000"/>
          <w:sz w:val="24"/>
          <w:szCs w:val="24"/>
        </w:rPr>
        <w:t>л</w:t>
      </w:r>
      <w:r w:rsidRPr="009C5D97">
        <w:rPr>
          <w:rFonts w:ascii="Times New Roman" w:hAnsi="Times New Roman"/>
          <w:color w:val="000000"/>
          <w:sz w:val="24"/>
          <w:szCs w:val="24"/>
        </w:rPr>
        <w:t xml:space="preserve"> за 2,1% на годишна основа поради зголемувањето на номиналниот ефективен девизен курс во врска со валутите на некои земји што се трговски партнери</w:t>
      </w:r>
      <w:r>
        <w:rPr>
          <w:rFonts w:ascii="Times New Roman" w:hAnsi="Times New Roman"/>
          <w:color w:val="000000"/>
          <w:sz w:val="24"/>
          <w:szCs w:val="24"/>
        </w:rPr>
        <w:t>,</w:t>
      </w:r>
      <w:r w:rsidRPr="009C5D97">
        <w:rPr>
          <w:rFonts w:ascii="Times New Roman" w:hAnsi="Times New Roman"/>
          <w:color w:val="000000"/>
          <w:sz w:val="24"/>
          <w:szCs w:val="24"/>
        </w:rPr>
        <w:t xml:space="preserve"> при што релативните цени остана</w:t>
      </w:r>
      <w:r>
        <w:rPr>
          <w:rFonts w:ascii="Times New Roman" w:hAnsi="Times New Roman"/>
          <w:color w:val="000000"/>
          <w:sz w:val="24"/>
          <w:szCs w:val="24"/>
        </w:rPr>
        <w:t>ле</w:t>
      </w:r>
      <w:r w:rsidRPr="009C5D97">
        <w:rPr>
          <w:rFonts w:ascii="Times New Roman" w:hAnsi="Times New Roman"/>
          <w:color w:val="000000"/>
          <w:sz w:val="24"/>
          <w:szCs w:val="24"/>
        </w:rPr>
        <w:t xml:space="preserve"> стабилни. Растот на реалните плати заедно со стагнацијата или падот на продуктивноста ја </w:t>
      </w:r>
      <w:r w:rsidRPr="00382B0A">
        <w:rPr>
          <w:rFonts w:ascii="Times New Roman" w:hAnsi="Times New Roman"/>
          <w:color w:val="000000"/>
          <w:sz w:val="24"/>
          <w:szCs w:val="24"/>
        </w:rPr>
        <w:t>еродираат</w:t>
      </w:r>
      <w:r w:rsidRPr="009C5D97">
        <w:rPr>
          <w:rFonts w:ascii="Times New Roman" w:hAnsi="Times New Roman"/>
          <w:color w:val="000000"/>
          <w:sz w:val="24"/>
          <w:szCs w:val="24"/>
        </w:rPr>
        <w:t xml:space="preserve"> конкурентноста на цените. Номиналните трошоци за труд по единица се зголеми</w:t>
      </w:r>
      <w:r>
        <w:rPr>
          <w:rFonts w:ascii="Times New Roman" w:hAnsi="Times New Roman"/>
          <w:color w:val="000000"/>
          <w:sz w:val="24"/>
          <w:szCs w:val="24"/>
        </w:rPr>
        <w:t>ле</w:t>
      </w:r>
      <w:r w:rsidRPr="009C5D97">
        <w:rPr>
          <w:rFonts w:ascii="Times New Roman" w:hAnsi="Times New Roman"/>
          <w:color w:val="000000"/>
          <w:sz w:val="24"/>
          <w:szCs w:val="24"/>
        </w:rPr>
        <w:t xml:space="preserve"> за 7% во 2022 година што </w:t>
      </w:r>
      <w:r w:rsidRPr="00382B0A">
        <w:rPr>
          <w:rFonts w:ascii="Times New Roman" w:hAnsi="Times New Roman"/>
          <w:color w:val="000000"/>
          <w:sz w:val="24"/>
          <w:szCs w:val="24"/>
        </w:rPr>
        <w:t>го отсликува</w:t>
      </w:r>
      <w:r w:rsidRPr="009C5D97">
        <w:rPr>
          <w:rFonts w:ascii="Times New Roman" w:hAnsi="Times New Roman"/>
          <w:color w:val="000000"/>
          <w:sz w:val="24"/>
          <w:szCs w:val="24"/>
        </w:rPr>
        <w:t xml:space="preserve"> големото покачување на номиналните плати</w:t>
      </w:r>
      <w:r>
        <w:rPr>
          <w:rFonts w:ascii="Times New Roman" w:hAnsi="Times New Roman"/>
          <w:color w:val="000000"/>
          <w:sz w:val="24"/>
          <w:szCs w:val="24"/>
        </w:rPr>
        <w:t>,</w:t>
      </w:r>
      <w:r w:rsidRPr="009C5D97">
        <w:rPr>
          <w:rFonts w:ascii="Times New Roman" w:hAnsi="Times New Roman"/>
          <w:color w:val="000000"/>
          <w:sz w:val="24"/>
          <w:szCs w:val="24"/>
        </w:rPr>
        <w:t xml:space="preserve"> додека растот на</w:t>
      </w:r>
      <w:r w:rsidRPr="009C5D97">
        <w:rPr>
          <w:rFonts w:ascii="Times New Roman" w:hAnsi="Times New Roman"/>
          <w:sz w:val="24"/>
          <w:szCs w:val="24"/>
        </w:rPr>
        <w:t xml:space="preserve"> </w:t>
      </w:r>
      <w:r w:rsidRPr="009C5D97">
        <w:rPr>
          <w:rFonts w:ascii="Times New Roman" w:hAnsi="Times New Roman"/>
          <w:color w:val="000000"/>
          <w:sz w:val="24"/>
          <w:szCs w:val="24"/>
        </w:rPr>
        <w:t>продуктивноста остана</w:t>
      </w:r>
      <w:r>
        <w:rPr>
          <w:rFonts w:ascii="Times New Roman" w:hAnsi="Times New Roman"/>
          <w:color w:val="000000"/>
          <w:sz w:val="24"/>
          <w:szCs w:val="24"/>
        </w:rPr>
        <w:t>л</w:t>
      </w:r>
      <w:r w:rsidRPr="009C5D97">
        <w:rPr>
          <w:rFonts w:ascii="Times New Roman" w:hAnsi="Times New Roman"/>
          <w:color w:val="000000"/>
          <w:sz w:val="24"/>
          <w:szCs w:val="24"/>
        </w:rPr>
        <w:t xml:space="preserve"> незначителен. Во текот на последните пет години реалниот ефективен девизен курс се намали</w:t>
      </w:r>
      <w:r>
        <w:rPr>
          <w:rFonts w:ascii="Times New Roman" w:hAnsi="Times New Roman"/>
          <w:color w:val="000000"/>
          <w:sz w:val="24"/>
          <w:szCs w:val="24"/>
        </w:rPr>
        <w:t>л</w:t>
      </w:r>
      <w:r w:rsidRPr="009C5D97">
        <w:rPr>
          <w:rFonts w:ascii="Times New Roman" w:hAnsi="Times New Roman"/>
          <w:color w:val="000000"/>
          <w:sz w:val="24"/>
          <w:szCs w:val="24"/>
        </w:rPr>
        <w:t xml:space="preserve"> со инфлацијата и нема</w:t>
      </w:r>
      <w:r>
        <w:rPr>
          <w:rFonts w:ascii="Times New Roman" w:hAnsi="Times New Roman"/>
          <w:color w:val="000000"/>
          <w:sz w:val="24"/>
          <w:szCs w:val="24"/>
        </w:rPr>
        <w:t>ло</w:t>
      </w:r>
      <w:r w:rsidRPr="009C5D97">
        <w:rPr>
          <w:rFonts w:ascii="Times New Roman" w:hAnsi="Times New Roman"/>
          <w:color w:val="000000"/>
          <w:sz w:val="24"/>
          <w:szCs w:val="24"/>
        </w:rPr>
        <w:t xml:space="preserve"> многу промена во ниту една насока (во просек мало зголемување од 1</w:t>
      </w:r>
      <w:r>
        <w:rPr>
          <w:rFonts w:ascii="Times New Roman" w:hAnsi="Times New Roman"/>
          <w:color w:val="000000"/>
          <w:sz w:val="24"/>
          <w:szCs w:val="24"/>
        </w:rPr>
        <w:t xml:space="preserve"> </w:t>
      </w:r>
      <w:r w:rsidRPr="009C5D97">
        <w:rPr>
          <w:rFonts w:ascii="Times New Roman" w:hAnsi="Times New Roman"/>
          <w:color w:val="000000"/>
          <w:sz w:val="24"/>
          <w:szCs w:val="24"/>
        </w:rPr>
        <w:t>%). Загриженоста за надворешната конкурентност се зголеми</w:t>
      </w:r>
      <w:r>
        <w:rPr>
          <w:rFonts w:ascii="Times New Roman" w:hAnsi="Times New Roman"/>
          <w:color w:val="000000"/>
          <w:sz w:val="24"/>
          <w:szCs w:val="24"/>
        </w:rPr>
        <w:t>ла</w:t>
      </w:r>
      <w:r w:rsidRPr="009C5D97">
        <w:rPr>
          <w:rFonts w:ascii="Times New Roman" w:hAnsi="Times New Roman"/>
          <w:color w:val="000000"/>
          <w:sz w:val="24"/>
          <w:szCs w:val="24"/>
        </w:rPr>
        <w:t xml:space="preserve"> со забрзувањето на растот на платите, поттикнато од зголемувањето од 12</w:t>
      </w:r>
      <w:r>
        <w:rPr>
          <w:rFonts w:ascii="Times New Roman" w:hAnsi="Times New Roman"/>
          <w:color w:val="000000"/>
          <w:sz w:val="24"/>
          <w:szCs w:val="24"/>
        </w:rPr>
        <w:t xml:space="preserve"> </w:t>
      </w:r>
      <w:r w:rsidRPr="009C5D97">
        <w:rPr>
          <w:rFonts w:ascii="Times New Roman" w:hAnsi="Times New Roman"/>
          <w:color w:val="000000"/>
          <w:sz w:val="24"/>
          <w:szCs w:val="24"/>
        </w:rPr>
        <w:t>% на минималните плати од април 2023 година</w:t>
      </w:r>
      <w:r w:rsidRPr="009C5D97">
        <w:rPr>
          <w:rStyle w:val="FootnoteReference"/>
          <w:rFonts w:ascii="Times New Roman" w:hAnsi="Times New Roman"/>
          <w:color w:val="000000"/>
          <w:sz w:val="24"/>
          <w:szCs w:val="24"/>
        </w:rPr>
        <w:footnoteReference w:id="16"/>
      </w:r>
      <w:r w:rsidRPr="009C5D97">
        <w:rPr>
          <w:rFonts w:ascii="Times New Roman" w:hAnsi="Times New Roman"/>
          <w:color w:val="000000"/>
          <w:sz w:val="24"/>
          <w:szCs w:val="24"/>
        </w:rPr>
        <w:t>.</w:t>
      </w:r>
    </w:p>
    <w:p w:rsidR="009768C4" w:rsidRPr="009C5D97" w:rsidRDefault="009768C4" w:rsidP="00A661C4">
      <w:pPr>
        <w:pStyle w:val="Heading2"/>
      </w:pPr>
      <w:bookmarkStart w:id="34" w:name="bookmark27"/>
      <w:bookmarkStart w:id="35" w:name="_Toc150864254"/>
      <w:r w:rsidRPr="009C5D97">
        <w:t>2</w:t>
      </w:r>
      <w:bookmarkEnd w:id="34"/>
      <w:r w:rsidRPr="009C5D97">
        <w:t>.4. Јавни набавки, статистика, финансиска контрола</w:t>
      </w:r>
      <w:bookmarkEnd w:id="35"/>
    </w:p>
    <w:p w:rsidR="009768C4" w:rsidRPr="009C5D97" w:rsidRDefault="009768C4" w:rsidP="00A661C4">
      <w:pPr>
        <w:pStyle w:val="Heading2"/>
      </w:pPr>
      <w:bookmarkStart w:id="36" w:name="bookmark28"/>
      <w:bookmarkStart w:id="37" w:name="_Toc150864255"/>
      <w:r w:rsidRPr="009C5D97">
        <w:t>П</w:t>
      </w:r>
      <w:bookmarkEnd w:id="36"/>
      <w:r w:rsidRPr="009C5D97">
        <w:t>оглавје 5: Јавни набавки</w:t>
      </w:r>
      <w:bookmarkEnd w:id="37"/>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i/>
          <w:iCs/>
          <w:color w:val="000000"/>
          <w:sz w:val="24"/>
          <w:szCs w:val="24"/>
        </w:rPr>
        <w:t xml:space="preserve">Правилата на ЕУ обезбедуваат јавните набавки на стоки, услуги и работи во </w:t>
      </w:r>
      <w:r>
        <w:rPr>
          <w:rFonts w:ascii="Times New Roman" w:hAnsi="Times New Roman"/>
          <w:i/>
          <w:iCs/>
          <w:color w:val="000000"/>
          <w:sz w:val="24"/>
          <w:szCs w:val="24"/>
        </w:rPr>
        <w:t>сите</w:t>
      </w:r>
      <w:r w:rsidRPr="009C5D97">
        <w:rPr>
          <w:rFonts w:ascii="Times New Roman" w:hAnsi="Times New Roman"/>
          <w:i/>
          <w:iCs/>
          <w:color w:val="000000"/>
          <w:sz w:val="24"/>
          <w:szCs w:val="24"/>
        </w:rPr>
        <w:t xml:space="preserve"> земј</w:t>
      </w:r>
      <w:r>
        <w:rPr>
          <w:rFonts w:ascii="Times New Roman" w:hAnsi="Times New Roman"/>
          <w:i/>
          <w:iCs/>
          <w:color w:val="000000"/>
          <w:sz w:val="24"/>
          <w:szCs w:val="24"/>
        </w:rPr>
        <w:t>и</w:t>
      </w:r>
      <w:r w:rsidRPr="009C5D97">
        <w:rPr>
          <w:rFonts w:ascii="Times New Roman" w:hAnsi="Times New Roman"/>
          <w:i/>
          <w:iCs/>
          <w:color w:val="000000"/>
          <w:sz w:val="24"/>
          <w:szCs w:val="24"/>
        </w:rPr>
        <w:t xml:space="preserve"> членк</w:t>
      </w:r>
      <w:r>
        <w:rPr>
          <w:rFonts w:ascii="Times New Roman" w:hAnsi="Times New Roman"/>
          <w:i/>
          <w:iCs/>
          <w:color w:val="000000"/>
          <w:sz w:val="24"/>
          <w:szCs w:val="24"/>
        </w:rPr>
        <w:t>и</w:t>
      </w:r>
      <w:r w:rsidRPr="009C5D97">
        <w:rPr>
          <w:rFonts w:ascii="Times New Roman" w:hAnsi="Times New Roman"/>
          <w:i/>
          <w:iCs/>
          <w:color w:val="000000"/>
          <w:sz w:val="24"/>
          <w:szCs w:val="24"/>
        </w:rPr>
        <w:t xml:space="preserve"> да бидат транспарентни и отворени за сите компании од ЕУ врз основа на </w:t>
      </w:r>
      <w:r>
        <w:rPr>
          <w:rFonts w:ascii="Times New Roman" w:hAnsi="Times New Roman"/>
          <w:i/>
          <w:iCs/>
          <w:color w:val="000000"/>
          <w:sz w:val="24"/>
          <w:szCs w:val="24"/>
        </w:rPr>
        <w:t xml:space="preserve">принципот на </w:t>
      </w:r>
      <w:r w:rsidRPr="009C5D97">
        <w:rPr>
          <w:rFonts w:ascii="Times New Roman" w:hAnsi="Times New Roman"/>
          <w:i/>
          <w:iCs/>
          <w:color w:val="000000"/>
          <w:sz w:val="24"/>
          <w:szCs w:val="24"/>
        </w:rPr>
        <w:t>недискриминација и еднаков третман.</w:t>
      </w:r>
    </w:p>
    <w:p w:rsidR="009768C4" w:rsidRPr="009C5D97"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 xml:space="preserve">Северна Македонија е </w:t>
      </w:r>
      <w:r w:rsidRPr="009C5D97">
        <w:rPr>
          <w:rFonts w:ascii="Times New Roman" w:hAnsi="Times New Roman"/>
          <w:b/>
          <w:bCs/>
          <w:color w:val="000000"/>
          <w:sz w:val="24"/>
          <w:szCs w:val="24"/>
        </w:rPr>
        <w:t>умерено подготвена</w:t>
      </w:r>
      <w:r w:rsidRPr="009C5D97">
        <w:rPr>
          <w:rFonts w:ascii="Times New Roman" w:hAnsi="Times New Roman"/>
          <w:color w:val="000000"/>
          <w:sz w:val="24"/>
          <w:szCs w:val="24"/>
        </w:rPr>
        <w:t xml:space="preserve"> во областа на јавните набавки. Во периодот на известување постигнат </w:t>
      </w:r>
      <w:r>
        <w:rPr>
          <w:rFonts w:ascii="Times New Roman" w:hAnsi="Times New Roman"/>
          <w:color w:val="000000"/>
          <w:sz w:val="24"/>
          <w:szCs w:val="24"/>
        </w:rPr>
        <w:t xml:space="preserve">е </w:t>
      </w:r>
      <w:r w:rsidRPr="009C5D97">
        <w:rPr>
          <w:rFonts w:ascii="Times New Roman" w:hAnsi="Times New Roman"/>
          <w:b/>
          <w:bCs/>
          <w:color w:val="000000"/>
          <w:sz w:val="24"/>
          <w:szCs w:val="24"/>
        </w:rPr>
        <w:t>ограничен напредок.</w:t>
      </w:r>
      <w:r w:rsidRPr="009C5D97">
        <w:rPr>
          <w:rFonts w:ascii="Times New Roman" w:hAnsi="Times New Roman"/>
          <w:color w:val="000000"/>
          <w:sz w:val="24"/>
          <w:szCs w:val="24"/>
        </w:rPr>
        <w:t xml:space="preserve"> Капацитетот на клучните институции, договорните органи и економските оператори треба да се зголеми преку континуирана обука. Националните органи треба да воведат поефикасни антикорупциски мерки во циклусот на набавки. Директното доделување </w:t>
      </w:r>
      <w:r>
        <w:rPr>
          <w:rFonts w:ascii="Times New Roman" w:hAnsi="Times New Roman"/>
          <w:color w:val="000000"/>
          <w:sz w:val="24"/>
          <w:szCs w:val="24"/>
        </w:rPr>
        <w:t xml:space="preserve">на </w:t>
      </w:r>
      <w:r w:rsidRPr="009C5D97">
        <w:rPr>
          <w:rFonts w:ascii="Times New Roman" w:hAnsi="Times New Roman"/>
          <w:color w:val="000000"/>
          <w:sz w:val="24"/>
          <w:szCs w:val="24"/>
        </w:rPr>
        <w:t>договор</w:t>
      </w:r>
      <w:r>
        <w:rPr>
          <w:rFonts w:ascii="Times New Roman" w:hAnsi="Times New Roman"/>
          <w:color w:val="000000"/>
          <w:sz w:val="24"/>
          <w:szCs w:val="24"/>
        </w:rPr>
        <w:t>от</w:t>
      </w:r>
      <w:r w:rsidRPr="009C5D97">
        <w:rPr>
          <w:rFonts w:ascii="Times New Roman" w:hAnsi="Times New Roman"/>
          <w:color w:val="000000"/>
          <w:sz w:val="24"/>
          <w:szCs w:val="24"/>
        </w:rPr>
        <w:t xml:space="preserve"> за изградба на Коридор VIII и X-д создава загриженост со оглед на тоа дека го иззема проектот од примената на Законот за јавните набавки.</w:t>
      </w:r>
    </w:p>
    <w:p w:rsidR="009768C4" w:rsidRPr="009C5D97"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 xml:space="preserve">Препораките од минатогодишниот извештај не </w:t>
      </w:r>
      <w:r>
        <w:rPr>
          <w:rFonts w:ascii="Times New Roman" w:hAnsi="Times New Roman"/>
          <w:color w:val="000000"/>
          <w:sz w:val="24"/>
          <w:szCs w:val="24"/>
        </w:rPr>
        <w:t>се</w:t>
      </w:r>
      <w:r w:rsidRPr="009C5D97">
        <w:rPr>
          <w:rFonts w:ascii="Times New Roman" w:hAnsi="Times New Roman"/>
          <w:color w:val="000000"/>
          <w:sz w:val="24"/>
          <w:szCs w:val="24"/>
        </w:rPr>
        <w:t xml:space="preserve"> целосно спроведени и затоа </w:t>
      </w:r>
      <w:r>
        <w:rPr>
          <w:rFonts w:ascii="Times New Roman" w:hAnsi="Times New Roman"/>
          <w:color w:val="000000"/>
          <w:sz w:val="24"/>
          <w:szCs w:val="24"/>
        </w:rPr>
        <w:t>сè уште</w:t>
      </w:r>
      <w:r w:rsidRPr="009C5D97">
        <w:rPr>
          <w:rFonts w:ascii="Times New Roman" w:hAnsi="Times New Roman"/>
          <w:color w:val="000000"/>
          <w:sz w:val="24"/>
          <w:szCs w:val="24"/>
        </w:rPr>
        <w:t xml:space="preserve"> да важат. Во текот на наредната година земјата особено треба:</w:t>
      </w:r>
    </w:p>
    <w:p w:rsidR="009768C4" w:rsidRPr="009C5D97"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w:t>
      </w:r>
      <w:r w:rsidRPr="009C5D97">
        <w:rPr>
          <w:rFonts w:ascii="Times New Roman" w:hAnsi="Times New Roman"/>
          <w:color w:val="000000"/>
          <w:sz w:val="24"/>
          <w:szCs w:val="24"/>
        </w:rPr>
        <w:tab/>
        <w:t>да донесе закон за јавно</w:t>
      </w:r>
      <w:r>
        <w:rPr>
          <w:rFonts w:ascii="Times New Roman" w:hAnsi="Times New Roman"/>
          <w:color w:val="000000"/>
          <w:sz w:val="24"/>
          <w:szCs w:val="24"/>
        </w:rPr>
        <w:t>–</w:t>
      </w:r>
      <w:r w:rsidRPr="009C5D97">
        <w:rPr>
          <w:rFonts w:ascii="Times New Roman" w:hAnsi="Times New Roman"/>
          <w:color w:val="000000"/>
          <w:sz w:val="24"/>
          <w:szCs w:val="24"/>
        </w:rPr>
        <w:t xml:space="preserve">приватно партнерство и закон за концесии, како и дополнително да ја усогласи </w:t>
      </w:r>
      <w:r>
        <w:rPr>
          <w:rFonts w:ascii="Times New Roman" w:hAnsi="Times New Roman"/>
          <w:color w:val="000000"/>
          <w:sz w:val="24"/>
          <w:szCs w:val="24"/>
        </w:rPr>
        <w:t>правната</w:t>
      </w:r>
      <w:r w:rsidRPr="009C5D97">
        <w:rPr>
          <w:rFonts w:ascii="Times New Roman" w:hAnsi="Times New Roman"/>
          <w:color w:val="000000"/>
          <w:sz w:val="24"/>
          <w:szCs w:val="24"/>
        </w:rPr>
        <w:t xml:space="preserve"> рамка во овие области со правото на ЕУ;</w:t>
      </w:r>
    </w:p>
    <w:p w:rsidR="009768C4" w:rsidRPr="009C5D97"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w:t>
      </w:r>
      <w:r w:rsidRPr="009C5D97">
        <w:rPr>
          <w:rFonts w:ascii="Times New Roman" w:hAnsi="Times New Roman"/>
          <w:color w:val="000000"/>
          <w:sz w:val="24"/>
          <w:szCs w:val="24"/>
        </w:rPr>
        <w:tab/>
        <w:t>да ја подобри координацијата меѓу клучните чинители и да го зајакне нивниот капацитет за спроведување на начелата за транспарентност, слободна конкуренција, еднаков третман и недискриминација;</w:t>
      </w:r>
    </w:p>
    <w:p w:rsidR="009768C4" w:rsidRPr="009C5D97"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w:t>
      </w:r>
      <w:r w:rsidRPr="009C5D97">
        <w:rPr>
          <w:rFonts w:ascii="Times New Roman" w:hAnsi="Times New Roman"/>
          <w:color w:val="000000"/>
          <w:sz w:val="24"/>
          <w:szCs w:val="24"/>
        </w:rPr>
        <w:tab/>
        <w:t>дополнително да ја зголеми употребата на критериумите за „економски најповолна понуда“ за доделување договори и да го подобри следењето на постапките за јавни набавки преку известување и ефикасно понатамошно следење на неправилностите, на случаите на судир на интереси и на измамничките практики.</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color w:val="000000"/>
          <w:sz w:val="24"/>
          <w:szCs w:val="24"/>
          <w:u w:val="single"/>
        </w:rPr>
        <w:t>Институционална поставеност и правно усогласување</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b/>
          <w:bCs/>
          <w:color w:val="000000"/>
          <w:sz w:val="24"/>
          <w:szCs w:val="24"/>
        </w:rPr>
        <w:t>Правната рамка</w:t>
      </w:r>
      <w:r w:rsidRPr="009C5D97">
        <w:rPr>
          <w:rFonts w:ascii="Times New Roman" w:hAnsi="Times New Roman"/>
          <w:color w:val="000000"/>
          <w:sz w:val="24"/>
          <w:szCs w:val="24"/>
        </w:rPr>
        <w:t xml:space="preserve"> за јавните набавки </w:t>
      </w:r>
      <w:r>
        <w:rPr>
          <w:rFonts w:ascii="Times New Roman" w:hAnsi="Times New Roman"/>
          <w:color w:val="000000"/>
          <w:sz w:val="24"/>
          <w:szCs w:val="24"/>
        </w:rPr>
        <w:t>во голема мера</w:t>
      </w:r>
      <w:r w:rsidRPr="009C5D97">
        <w:rPr>
          <w:rFonts w:ascii="Times New Roman" w:hAnsi="Times New Roman"/>
          <w:color w:val="000000"/>
          <w:sz w:val="24"/>
          <w:szCs w:val="24"/>
        </w:rPr>
        <w:t xml:space="preserve"> </w:t>
      </w:r>
      <w:r>
        <w:rPr>
          <w:rFonts w:ascii="Times New Roman" w:hAnsi="Times New Roman"/>
          <w:color w:val="000000"/>
          <w:sz w:val="24"/>
          <w:szCs w:val="24"/>
        </w:rPr>
        <w:t xml:space="preserve">е </w:t>
      </w:r>
      <w:r w:rsidRPr="009C5D97">
        <w:rPr>
          <w:rFonts w:ascii="Times New Roman" w:hAnsi="Times New Roman"/>
          <w:color w:val="000000"/>
          <w:sz w:val="24"/>
          <w:szCs w:val="24"/>
        </w:rPr>
        <w:t>усогласена со правото на ЕУ. Продолж</w:t>
      </w:r>
      <w:r>
        <w:rPr>
          <w:rFonts w:ascii="Times New Roman" w:hAnsi="Times New Roman"/>
          <w:color w:val="000000"/>
          <w:sz w:val="24"/>
          <w:szCs w:val="24"/>
        </w:rPr>
        <w:t>ува</w:t>
      </w:r>
      <w:r w:rsidRPr="009C5D97">
        <w:rPr>
          <w:rFonts w:ascii="Times New Roman" w:hAnsi="Times New Roman"/>
          <w:color w:val="000000"/>
          <w:sz w:val="24"/>
          <w:szCs w:val="24"/>
        </w:rPr>
        <w:t xml:space="preserve"> практиката на запишување компании „на црна листа“ поради професионална злоупотреба во фазата на набавки, иако ова не е во согласност со правилата на ЕУ. Во 2022 година издадени </w:t>
      </w:r>
      <w:r>
        <w:rPr>
          <w:rFonts w:ascii="Times New Roman" w:hAnsi="Times New Roman"/>
          <w:color w:val="000000"/>
          <w:sz w:val="24"/>
          <w:szCs w:val="24"/>
        </w:rPr>
        <w:t xml:space="preserve">се </w:t>
      </w:r>
      <w:r w:rsidRPr="009C5D97">
        <w:rPr>
          <w:rFonts w:ascii="Times New Roman" w:hAnsi="Times New Roman"/>
          <w:color w:val="000000"/>
          <w:sz w:val="24"/>
          <w:szCs w:val="24"/>
        </w:rPr>
        <w:t xml:space="preserve">55 негативни </w:t>
      </w:r>
      <w:r>
        <w:rPr>
          <w:rFonts w:ascii="Times New Roman" w:hAnsi="Times New Roman"/>
          <w:color w:val="000000"/>
          <w:sz w:val="24"/>
          <w:szCs w:val="24"/>
        </w:rPr>
        <w:t>референци</w:t>
      </w:r>
      <w:r w:rsidRPr="009C5D97">
        <w:rPr>
          <w:rFonts w:ascii="Times New Roman" w:hAnsi="Times New Roman"/>
          <w:color w:val="000000"/>
          <w:sz w:val="24"/>
          <w:szCs w:val="24"/>
        </w:rPr>
        <w:t xml:space="preserve"> за 50 економски оператори</w:t>
      </w:r>
      <w:r>
        <w:rPr>
          <w:rFonts w:ascii="Times New Roman" w:hAnsi="Times New Roman"/>
          <w:color w:val="000000"/>
          <w:sz w:val="24"/>
          <w:szCs w:val="24"/>
        </w:rPr>
        <w:t>,</w:t>
      </w:r>
      <w:r w:rsidRPr="009C5D97">
        <w:rPr>
          <w:rFonts w:ascii="Times New Roman" w:hAnsi="Times New Roman"/>
          <w:color w:val="000000"/>
          <w:sz w:val="24"/>
          <w:szCs w:val="24"/>
        </w:rPr>
        <w:t xml:space="preserve"> од кои 21 се истечени, а девет </w:t>
      </w:r>
      <w:r>
        <w:rPr>
          <w:rFonts w:ascii="Times New Roman" w:hAnsi="Times New Roman"/>
          <w:color w:val="000000"/>
          <w:sz w:val="24"/>
          <w:szCs w:val="24"/>
        </w:rPr>
        <w:t>се</w:t>
      </w:r>
      <w:r w:rsidRPr="009C5D97">
        <w:rPr>
          <w:rFonts w:ascii="Times New Roman" w:hAnsi="Times New Roman"/>
          <w:color w:val="000000"/>
          <w:sz w:val="24"/>
          <w:szCs w:val="24"/>
        </w:rPr>
        <w:t xml:space="preserve"> отстранети од Бирото за јавни набавки. До крајот на 2022 година 25 негативни </w:t>
      </w:r>
      <w:r>
        <w:rPr>
          <w:rFonts w:ascii="Times New Roman" w:hAnsi="Times New Roman"/>
          <w:color w:val="000000"/>
          <w:sz w:val="24"/>
          <w:szCs w:val="24"/>
        </w:rPr>
        <w:t xml:space="preserve">референци </w:t>
      </w:r>
      <w:r w:rsidRPr="009C5D97">
        <w:rPr>
          <w:rFonts w:ascii="Times New Roman" w:hAnsi="Times New Roman"/>
          <w:color w:val="000000"/>
          <w:sz w:val="24"/>
          <w:szCs w:val="24"/>
        </w:rPr>
        <w:t xml:space="preserve">издадени во 2022 година биле активни, како и шест негативни </w:t>
      </w:r>
      <w:r>
        <w:rPr>
          <w:rFonts w:ascii="Times New Roman" w:hAnsi="Times New Roman"/>
          <w:color w:val="000000"/>
          <w:sz w:val="24"/>
          <w:szCs w:val="24"/>
        </w:rPr>
        <w:t xml:space="preserve">референци </w:t>
      </w:r>
      <w:r w:rsidRPr="009C5D97">
        <w:rPr>
          <w:rFonts w:ascii="Times New Roman" w:hAnsi="Times New Roman"/>
          <w:color w:val="000000"/>
          <w:sz w:val="24"/>
          <w:szCs w:val="24"/>
        </w:rPr>
        <w:t>издадени во 2018 и 2019 година.</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Сѐ уште се чека на фи</w:t>
      </w:r>
      <w:r w:rsidRPr="009C5D97">
        <w:rPr>
          <w:rFonts w:ascii="Times New Roman" w:hAnsi="Times New Roman"/>
          <w:color w:val="000000"/>
          <w:sz w:val="24"/>
          <w:szCs w:val="24"/>
        </w:rPr>
        <w:t xml:space="preserve">нализирањето и донесувањето на </w:t>
      </w:r>
      <w:r w:rsidRPr="00382B0A">
        <w:rPr>
          <w:rFonts w:ascii="Times New Roman" w:hAnsi="Times New Roman"/>
          <w:color w:val="000000"/>
          <w:sz w:val="24"/>
          <w:szCs w:val="24"/>
        </w:rPr>
        <w:t>Зак</w:t>
      </w:r>
      <w:r w:rsidRPr="009C5D97">
        <w:rPr>
          <w:rFonts w:ascii="Times New Roman" w:hAnsi="Times New Roman"/>
          <w:color w:val="000000"/>
          <w:sz w:val="24"/>
          <w:szCs w:val="24"/>
        </w:rPr>
        <w:t>онот за јавно</w:t>
      </w:r>
      <w:r>
        <w:rPr>
          <w:rFonts w:ascii="Times New Roman" w:hAnsi="Times New Roman"/>
          <w:color w:val="000000"/>
          <w:sz w:val="24"/>
          <w:szCs w:val="24"/>
        </w:rPr>
        <w:t>–</w:t>
      </w:r>
      <w:r w:rsidRPr="009C5D97">
        <w:rPr>
          <w:rFonts w:ascii="Times New Roman" w:hAnsi="Times New Roman"/>
          <w:color w:val="000000"/>
          <w:sz w:val="24"/>
          <w:szCs w:val="24"/>
        </w:rPr>
        <w:t xml:space="preserve">приватно партнерство и на </w:t>
      </w:r>
      <w:r w:rsidRPr="00382B0A">
        <w:rPr>
          <w:rFonts w:ascii="Times New Roman" w:hAnsi="Times New Roman"/>
          <w:color w:val="000000"/>
          <w:sz w:val="24"/>
          <w:szCs w:val="24"/>
        </w:rPr>
        <w:t>За</w:t>
      </w:r>
      <w:r w:rsidRPr="009C5D97">
        <w:rPr>
          <w:rFonts w:ascii="Times New Roman" w:hAnsi="Times New Roman"/>
          <w:color w:val="000000"/>
          <w:sz w:val="24"/>
          <w:szCs w:val="24"/>
        </w:rPr>
        <w:t>конот за концесии.</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 xml:space="preserve">Во март 2023 година Владата го одобри договорот за изградба на дел од автопатот </w:t>
      </w:r>
      <w:r>
        <w:rPr>
          <w:rFonts w:ascii="Times New Roman" w:hAnsi="Times New Roman"/>
          <w:color w:val="000000"/>
          <w:sz w:val="24"/>
          <w:szCs w:val="24"/>
        </w:rPr>
        <w:t xml:space="preserve">по </w:t>
      </w:r>
      <w:r w:rsidRPr="009C5D97">
        <w:rPr>
          <w:rFonts w:ascii="Times New Roman" w:hAnsi="Times New Roman"/>
          <w:color w:val="000000"/>
          <w:sz w:val="24"/>
          <w:szCs w:val="24"/>
        </w:rPr>
        <w:t>долж</w:t>
      </w:r>
      <w:r>
        <w:rPr>
          <w:rFonts w:ascii="Times New Roman" w:hAnsi="Times New Roman"/>
          <w:color w:val="000000"/>
          <w:sz w:val="24"/>
          <w:szCs w:val="24"/>
        </w:rPr>
        <w:t>ината на</w:t>
      </w:r>
      <w:r w:rsidRPr="009C5D97">
        <w:rPr>
          <w:rFonts w:ascii="Times New Roman" w:hAnsi="Times New Roman"/>
          <w:color w:val="000000"/>
          <w:sz w:val="24"/>
          <w:szCs w:val="24"/>
        </w:rPr>
        <w:t xml:space="preserve"> Коридор VIII и X-д. Договорот беше директно доделен на меѓународен конзорциум без конкурентна постапка </w:t>
      </w:r>
      <w:r w:rsidR="006064D8">
        <w:rPr>
          <w:rFonts w:ascii="Times New Roman" w:hAnsi="Times New Roman"/>
          <w:color w:val="000000"/>
          <w:sz w:val="24"/>
          <w:szCs w:val="24"/>
        </w:rPr>
        <w:t>поради</w:t>
      </w:r>
      <w:r w:rsidRPr="009C5D97">
        <w:rPr>
          <w:rFonts w:ascii="Times New Roman" w:hAnsi="Times New Roman"/>
          <w:color w:val="000000"/>
          <w:sz w:val="24"/>
          <w:szCs w:val="24"/>
        </w:rPr>
        <w:t xml:space="preserve"> тоа што </w:t>
      </w:r>
      <w:r w:rsidRPr="00382B0A">
        <w:rPr>
          <w:rFonts w:ascii="Times New Roman" w:hAnsi="Times New Roman"/>
          <w:color w:val="000000"/>
          <w:sz w:val="24"/>
          <w:szCs w:val="24"/>
        </w:rPr>
        <w:t>ад хок Законот за утврдување на јавен</w:t>
      </w:r>
      <w:r w:rsidRPr="00382B0A">
        <w:rPr>
          <w:rFonts w:ascii="Times New Roman" w:hAnsi="Times New Roman"/>
          <w:sz w:val="24"/>
          <w:szCs w:val="24"/>
        </w:rPr>
        <w:t xml:space="preserve"> </w:t>
      </w:r>
      <w:r w:rsidRPr="00382B0A">
        <w:rPr>
          <w:rFonts w:ascii="Times New Roman" w:hAnsi="Times New Roman"/>
          <w:color w:val="000000"/>
          <w:sz w:val="24"/>
          <w:szCs w:val="24"/>
        </w:rPr>
        <w:t>интерес и Законот за именување стратешки партнер за спроведување на проектот за изградба на инфраструктурата Коридор VIII и X-д беа донесени од Собранието во 2021 година го иззема</w:t>
      </w:r>
      <w:r w:rsidR="006064D8">
        <w:rPr>
          <w:rFonts w:ascii="Times New Roman" w:hAnsi="Times New Roman"/>
          <w:color w:val="000000"/>
          <w:sz w:val="24"/>
          <w:szCs w:val="24"/>
        </w:rPr>
        <w:t>ат</w:t>
      </w:r>
      <w:r w:rsidRPr="00382B0A">
        <w:rPr>
          <w:rFonts w:ascii="Times New Roman" w:hAnsi="Times New Roman"/>
          <w:color w:val="000000"/>
          <w:sz w:val="24"/>
          <w:szCs w:val="24"/>
        </w:rPr>
        <w:t xml:space="preserve"> проектот од примената на Законот за јавни набавки.</w:t>
      </w:r>
      <w:r w:rsidRPr="009C5D97">
        <w:rPr>
          <w:rFonts w:ascii="Times New Roman" w:hAnsi="Times New Roman"/>
          <w:color w:val="000000"/>
          <w:sz w:val="24"/>
          <w:szCs w:val="24"/>
        </w:rPr>
        <w:t xml:space="preserve"> Во мај 2023 година Владата ги достави на донесување до Собранието законските измени што се неопходни за спроведувањето на проектот. Овие закони беа означени со ЕУ знаме за брза постапка</w:t>
      </w:r>
      <w:r>
        <w:rPr>
          <w:rFonts w:ascii="Times New Roman" w:hAnsi="Times New Roman"/>
          <w:color w:val="000000"/>
          <w:sz w:val="24"/>
          <w:szCs w:val="24"/>
        </w:rPr>
        <w:t>,</w:t>
      </w:r>
      <w:r w:rsidRPr="009C5D97">
        <w:rPr>
          <w:rFonts w:ascii="Times New Roman" w:hAnsi="Times New Roman"/>
          <w:color w:val="000000"/>
          <w:sz w:val="24"/>
          <w:szCs w:val="24"/>
        </w:rPr>
        <w:t xml:space="preserve"> иако ова не </w:t>
      </w:r>
      <w:r>
        <w:rPr>
          <w:rFonts w:ascii="Times New Roman" w:hAnsi="Times New Roman"/>
          <w:color w:val="000000"/>
          <w:sz w:val="24"/>
          <w:szCs w:val="24"/>
        </w:rPr>
        <w:t>претставува</w:t>
      </w:r>
      <w:r w:rsidRPr="009C5D97">
        <w:rPr>
          <w:rFonts w:ascii="Times New Roman" w:hAnsi="Times New Roman"/>
          <w:color w:val="000000"/>
          <w:sz w:val="24"/>
          <w:szCs w:val="24"/>
        </w:rPr>
        <w:t xml:space="preserve"> соодветна употреба на постапката.</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Се спроведува </w:t>
      </w:r>
      <w:r w:rsidRPr="009C5D97">
        <w:rPr>
          <w:rFonts w:ascii="Times New Roman" w:hAnsi="Times New Roman"/>
          <w:color w:val="000000"/>
          <w:sz w:val="24"/>
          <w:szCs w:val="24"/>
        </w:rPr>
        <w:t>Стратегијата за јавни набавки 2022</w:t>
      </w:r>
      <w:r>
        <w:rPr>
          <w:rFonts w:ascii="Times New Roman" w:hAnsi="Times New Roman"/>
          <w:color w:val="000000"/>
          <w:sz w:val="24"/>
          <w:szCs w:val="24"/>
        </w:rPr>
        <w:t xml:space="preserve"> – </w:t>
      </w:r>
      <w:r w:rsidRPr="009C5D97">
        <w:rPr>
          <w:rFonts w:ascii="Times New Roman" w:hAnsi="Times New Roman"/>
          <w:color w:val="000000"/>
          <w:sz w:val="24"/>
          <w:szCs w:val="24"/>
        </w:rPr>
        <w:t>2026. Според првиот извештај од следењето од 2022 година, 68</w:t>
      </w:r>
      <w:r>
        <w:rPr>
          <w:rFonts w:ascii="Times New Roman" w:hAnsi="Times New Roman"/>
          <w:color w:val="000000"/>
          <w:sz w:val="24"/>
          <w:szCs w:val="24"/>
        </w:rPr>
        <w:t xml:space="preserve"> </w:t>
      </w:r>
      <w:r w:rsidRPr="009C5D97">
        <w:rPr>
          <w:rFonts w:ascii="Times New Roman" w:hAnsi="Times New Roman"/>
          <w:color w:val="000000"/>
          <w:sz w:val="24"/>
          <w:szCs w:val="24"/>
        </w:rPr>
        <w:t xml:space="preserve">% од активностите </w:t>
      </w:r>
      <w:r w:rsidR="006064D8">
        <w:rPr>
          <w:rFonts w:ascii="Times New Roman" w:hAnsi="Times New Roman"/>
          <w:color w:val="000000"/>
          <w:sz w:val="24"/>
          <w:szCs w:val="24"/>
        </w:rPr>
        <w:t>се</w:t>
      </w:r>
      <w:r w:rsidRPr="009C5D97">
        <w:rPr>
          <w:rFonts w:ascii="Times New Roman" w:hAnsi="Times New Roman"/>
          <w:color w:val="000000"/>
          <w:sz w:val="24"/>
          <w:szCs w:val="24"/>
        </w:rPr>
        <w:t xml:space="preserve"> целосно спроведени, 8</w:t>
      </w:r>
      <w:r>
        <w:rPr>
          <w:rFonts w:ascii="Times New Roman" w:hAnsi="Times New Roman"/>
          <w:color w:val="000000"/>
          <w:sz w:val="24"/>
          <w:szCs w:val="24"/>
        </w:rPr>
        <w:t xml:space="preserve"> </w:t>
      </w:r>
      <w:r w:rsidRPr="009C5D97">
        <w:rPr>
          <w:rFonts w:ascii="Times New Roman" w:hAnsi="Times New Roman"/>
          <w:color w:val="000000"/>
          <w:sz w:val="24"/>
          <w:szCs w:val="24"/>
        </w:rPr>
        <w:t xml:space="preserve">% се во тек, а 24% </w:t>
      </w:r>
      <w:r w:rsidR="006064D8">
        <w:rPr>
          <w:rFonts w:ascii="Times New Roman" w:hAnsi="Times New Roman"/>
          <w:color w:val="000000"/>
          <w:sz w:val="24"/>
          <w:szCs w:val="24"/>
        </w:rPr>
        <w:t>се</w:t>
      </w:r>
      <w:r w:rsidRPr="009C5D97">
        <w:rPr>
          <w:rFonts w:ascii="Times New Roman" w:hAnsi="Times New Roman"/>
          <w:color w:val="000000"/>
          <w:sz w:val="24"/>
          <w:szCs w:val="24"/>
        </w:rPr>
        <w:t xml:space="preserve"> </w:t>
      </w:r>
      <w:r>
        <w:rPr>
          <w:rFonts w:ascii="Times New Roman" w:hAnsi="Times New Roman"/>
          <w:color w:val="000000"/>
          <w:sz w:val="24"/>
          <w:szCs w:val="24"/>
        </w:rPr>
        <w:t>одложени</w:t>
      </w:r>
      <w:r w:rsidRPr="009C5D97">
        <w:rPr>
          <w:rFonts w:ascii="Times New Roman" w:hAnsi="Times New Roman"/>
          <w:color w:val="000000"/>
          <w:sz w:val="24"/>
          <w:szCs w:val="24"/>
        </w:rPr>
        <w:t xml:space="preserve"> за 2023 година. Бирото за јавни набавки продолжи да го осовременува и подобрува системот за јавни набавки во земјата</w:t>
      </w:r>
      <w:r>
        <w:rPr>
          <w:rFonts w:ascii="Times New Roman" w:hAnsi="Times New Roman"/>
          <w:color w:val="000000"/>
          <w:sz w:val="24"/>
          <w:szCs w:val="24"/>
        </w:rPr>
        <w:t>,</w:t>
      </w:r>
      <w:r w:rsidRPr="009C5D97">
        <w:rPr>
          <w:rFonts w:ascii="Times New Roman" w:hAnsi="Times New Roman"/>
          <w:color w:val="000000"/>
          <w:sz w:val="24"/>
          <w:szCs w:val="24"/>
        </w:rPr>
        <w:t xml:space="preserve"> со цел да ги подобри неговите перформанси и функционалност. Сепак, треба да се зајакнат капацитетот на Бирото за јавни набавки, следењето и контролата.</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Бирото за јавни набавки и Министерството за економија продолжија со активностите за пристапување кон Договорот на СТО за државни набавки (</w:t>
      </w:r>
      <w:r>
        <w:rPr>
          <w:rFonts w:ascii="Times New Roman" w:hAnsi="Times New Roman"/>
          <w:color w:val="000000"/>
          <w:sz w:val="24"/>
          <w:szCs w:val="24"/>
          <w:lang w:val="en-US"/>
        </w:rPr>
        <w:t>GPA</w:t>
      </w:r>
      <w:r w:rsidRPr="009C5D97">
        <w:rPr>
          <w:rFonts w:ascii="Times New Roman" w:hAnsi="Times New Roman"/>
          <w:color w:val="000000"/>
          <w:sz w:val="24"/>
          <w:szCs w:val="24"/>
        </w:rPr>
        <w:t>). На 7 јуни 2023 година Комитетот за државни набавки одлучи за пристап на Северна Македонија кон ГПА.</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 xml:space="preserve">Во 2022 година потпишан </w:t>
      </w:r>
      <w:r>
        <w:rPr>
          <w:rFonts w:ascii="Times New Roman" w:hAnsi="Times New Roman"/>
          <w:color w:val="000000"/>
          <w:sz w:val="24"/>
          <w:szCs w:val="24"/>
        </w:rPr>
        <w:t>е М</w:t>
      </w:r>
      <w:r w:rsidRPr="009C5D97">
        <w:rPr>
          <w:rFonts w:ascii="Times New Roman" w:hAnsi="Times New Roman"/>
          <w:color w:val="000000"/>
          <w:sz w:val="24"/>
          <w:szCs w:val="24"/>
        </w:rPr>
        <w:t>еморандум за разбирање за размена на информации и за стандардизација на постапките</w:t>
      </w:r>
      <w:r>
        <w:rPr>
          <w:rFonts w:ascii="Times New Roman" w:hAnsi="Times New Roman"/>
          <w:color w:val="000000"/>
          <w:sz w:val="24"/>
          <w:szCs w:val="24"/>
        </w:rPr>
        <w:t xml:space="preserve"> по</w:t>
      </w:r>
      <w:r w:rsidRPr="009C5D97">
        <w:rPr>
          <w:rFonts w:ascii="Times New Roman" w:hAnsi="Times New Roman"/>
          <w:color w:val="000000"/>
          <w:sz w:val="24"/>
          <w:szCs w:val="24"/>
        </w:rPr>
        <w:t>меѓу Бирото за јавни набавки, Државната комисија за жалби по јавни набавки, Комисијата за заштита на конкуренцијата, Државниот завод за ревизија и Државната к</w:t>
      </w:r>
      <w:r w:rsidR="00AF05B3">
        <w:rPr>
          <w:rFonts w:ascii="Times New Roman" w:hAnsi="Times New Roman"/>
          <w:color w:val="000000"/>
          <w:sz w:val="24"/>
          <w:szCs w:val="24"/>
        </w:rPr>
        <w:t>омисија за спречување корупција</w:t>
      </w:r>
      <w:r w:rsidRPr="009C5D97">
        <w:rPr>
          <w:rFonts w:ascii="Times New Roman" w:hAnsi="Times New Roman"/>
          <w:color w:val="000000"/>
          <w:sz w:val="24"/>
          <w:szCs w:val="24"/>
        </w:rPr>
        <w:t xml:space="preserve">. </w:t>
      </w:r>
      <w:r>
        <w:rPr>
          <w:rFonts w:ascii="Times New Roman" w:hAnsi="Times New Roman"/>
          <w:color w:val="000000"/>
          <w:sz w:val="24"/>
          <w:szCs w:val="24"/>
        </w:rPr>
        <w:t>Целта е да се постигне</w:t>
      </w:r>
      <w:r w:rsidRPr="009C5D97">
        <w:rPr>
          <w:rFonts w:ascii="Times New Roman" w:hAnsi="Times New Roman"/>
          <w:color w:val="000000"/>
          <w:sz w:val="24"/>
          <w:szCs w:val="24"/>
        </w:rPr>
        <w:t xml:space="preserve"> поефективна размена на податоците и информациите</w:t>
      </w:r>
      <w:r>
        <w:rPr>
          <w:rFonts w:ascii="Times New Roman" w:hAnsi="Times New Roman"/>
          <w:color w:val="000000"/>
          <w:sz w:val="24"/>
          <w:szCs w:val="24"/>
        </w:rPr>
        <w:t>,</w:t>
      </w:r>
      <w:r w:rsidRPr="009C5D97">
        <w:rPr>
          <w:rFonts w:ascii="Times New Roman" w:hAnsi="Times New Roman"/>
          <w:color w:val="000000"/>
          <w:sz w:val="24"/>
          <w:szCs w:val="24"/>
        </w:rPr>
        <w:t xml:space="preserve"> со цел зајакнување на доследноста и интегритетот во спроведувањето на законската рамка.</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 xml:space="preserve">Капацитетите на Министерството за економија, </w:t>
      </w:r>
      <w:r w:rsidRPr="00382B0A">
        <w:rPr>
          <w:rFonts w:ascii="Times New Roman" w:hAnsi="Times New Roman"/>
          <w:color w:val="000000"/>
          <w:sz w:val="24"/>
          <w:szCs w:val="24"/>
        </w:rPr>
        <w:t xml:space="preserve">министерството </w:t>
      </w:r>
      <w:r>
        <w:rPr>
          <w:rFonts w:ascii="Times New Roman" w:hAnsi="Times New Roman"/>
          <w:color w:val="000000"/>
          <w:sz w:val="24"/>
          <w:szCs w:val="24"/>
        </w:rPr>
        <w:t>компетентно за</w:t>
      </w:r>
      <w:r w:rsidRPr="00382B0A">
        <w:rPr>
          <w:rFonts w:ascii="Times New Roman" w:hAnsi="Times New Roman"/>
          <w:color w:val="000000"/>
          <w:sz w:val="24"/>
          <w:szCs w:val="24"/>
        </w:rPr>
        <w:t xml:space="preserve"> концесии</w:t>
      </w:r>
      <w:r w:rsidRPr="009C5D97">
        <w:rPr>
          <w:rFonts w:ascii="Times New Roman" w:hAnsi="Times New Roman"/>
          <w:color w:val="000000"/>
          <w:sz w:val="24"/>
          <w:szCs w:val="24"/>
        </w:rPr>
        <w:t xml:space="preserve"> и јавно</w:t>
      </w:r>
      <w:r>
        <w:rPr>
          <w:rFonts w:ascii="Times New Roman" w:hAnsi="Times New Roman"/>
          <w:color w:val="000000"/>
          <w:sz w:val="24"/>
          <w:szCs w:val="24"/>
        </w:rPr>
        <w:t>–</w:t>
      </w:r>
      <w:r w:rsidRPr="009C5D97">
        <w:rPr>
          <w:rFonts w:ascii="Times New Roman" w:hAnsi="Times New Roman"/>
          <w:color w:val="000000"/>
          <w:sz w:val="24"/>
          <w:szCs w:val="24"/>
        </w:rPr>
        <w:t>приватни партнерства (ЈПП)</w:t>
      </w:r>
      <w:r>
        <w:rPr>
          <w:rFonts w:ascii="Times New Roman" w:hAnsi="Times New Roman"/>
          <w:color w:val="000000"/>
          <w:sz w:val="24"/>
          <w:szCs w:val="24"/>
        </w:rPr>
        <w:t xml:space="preserve"> и понатаму се</w:t>
      </w:r>
      <w:r w:rsidRPr="009C5D97">
        <w:rPr>
          <w:rFonts w:ascii="Times New Roman" w:hAnsi="Times New Roman"/>
          <w:color w:val="000000"/>
          <w:sz w:val="24"/>
          <w:szCs w:val="24"/>
        </w:rPr>
        <w:t xml:space="preserve"> ограничени. Во 2022 година склучен </w:t>
      </w:r>
      <w:r>
        <w:rPr>
          <w:rFonts w:ascii="Times New Roman" w:hAnsi="Times New Roman"/>
          <w:color w:val="000000"/>
          <w:sz w:val="24"/>
          <w:szCs w:val="24"/>
        </w:rPr>
        <w:t xml:space="preserve">е </w:t>
      </w:r>
      <w:r w:rsidRPr="009C5D97">
        <w:rPr>
          <w:rFonts w:ascii="Times New Roman" w:hAnsi="Times New Roman"/>
          <w:color w:val="000000"/>
          <w:sz w:val="24"/>
          <w:szCs w:val="24"/>
        </w:rPr>
        <w:t xml:space="preserve">само еден нов договор за ЈПП. </w:t>
      </w:r>
      <w:r>
        <w:rPr>
          <w:rFonts w:ascii="Times New Roman" w:hAnsi="Times New Roman"/>
          <w:color w:val="000000"/>
          <w:sz w:val="24"/>
          <w:szCs w:val="24"/>
        </w:rPr>
        <w:t>С</w:t>
      </w:r>
      <w:r w:rsidRPr="009C5D97">
        <w:rPr>
          <w:rFonts w:ascii="Times New Roman" w:hAnsi="Times New Roman"/>
          <w:color w:val="000000"/>
          <w:sz w:val="24"/>
          <w:szCs w:val="24"/>
        </w:rPr>
        <w:t>è уште треба да се воспостават Регистарот за ЈПП и регистарот за концесии.</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 xml:space="preserve">Електронскиот систем за јавни набавки функционира ефикасно. И покрај развојот на платформа за е-пазар и е-каталози, субјектите што вршат набавка покажаа мала заинтересираност да ги користат. Во 2022 година со употреба на е-пазар склучени </w:t>
      </w:r>
      <w:r>
        <w:rPr>
          <w:rFonts w:ascii="Times New Roman" w:hAnsi="Times New Roman"/>
          <w:color w:val="000000"/>
          <w:sz w:val="24"/>
          <w:szCs w:val="24"/>
        </w:rPr>
        <w:t xml:space="preserve">се </w:t>
      </w:r>
      <w:r w:rsidRPr="009C5D97">
        <w:rPr>
          <w:rFonts w:ascii="Times New Roman" w:hAnsi="Times New Roman"/>
          <w:color w:val="000000"/>
          <w:sz w:val="24"/>
          <w:szCs w:val="24"/>
        </w:rPr>
        <w:t>70 набавки од мала вредност. Годишните планови за набавк</w:t>
      </w:r>
      <w:r>
        <w:rPr>
          <w:rFonts w:ascii="Times New Roman" w:hAnsi="Times New Roman"/>
          <w:color w:val="000000"/>
          <w:sz w:val="24"/>
          <w:szCs w:val="24"/>
        </w:rPr>
        <w:t>и</w:t>
      </w:r>
      <w:r w:rsidRPr="009C5D97">
        <w:rPr>
          <w:rFonts w:ascii="Times New Roman" w:hAnsi="Times New Roman"/>
          <w:color w:val="000000"/>
          <w:sz w:val="24"/>
          <w:szCs w:val="24"/>
        </w:rPr>
        <w:t xml:space="preserve"> на договорните органи редовно се објавуваат на електронскиот систем за јавни набавки. Модулот за електронска архива </w:t>
      </w:r>
      <w:r>
        <w:rPr>
          <w:rFonts w:ascii="Times New Roman" w:hAnsi="Times New Roman"/>
          <w:color w:val="000000"/>
          <w:sz w:val="24"/>
          <w:szCs w:val="24"/>
        </w:rPr>
        <w:t xml:space="preserve">го </w:t>
      </w:r>
      <w:r w:rsidRPr="009C5D97">
        <w:rPr>
          <w:rFonts w:ascii="Times New Roman" w:hAnsi="Times New Roman"/>
          <w:color w:val="000000"/>
          <w:sz w:val="24"/>
          <w:szCs w:val="24"/>
        </w:rPr>
        <w:t>осигурува интегритет</w:t>
      </w:r>
      <w:r>
        <w:rPr>
          <w:rFonts w:ascii="Times New Roman" w:hAnsi="Times New Roman"/>
          <w:color w:val="000000"/>
          <w:sz w:val="24"/>
          <w:szCs w:val="24"/>
        </w:rPr>
        <w:t>от</w:t>
      </w:r>
      <w:r w:rsidRPr="009C5D97">
        <w:rPr>
          <w:rFonts w:ascii="Times New Roman" w:hAnsi="Times New Roman"/>
          <w:color w:val="000000"/>
          <w:sz w:val="24"/>
          <w:szCs w:val="24"/>
        </w:rPr>
        <w:t xml:space="preserve"> на електронските постапки преку чување на документацијата во оригинална</w:t>
      </w:r>
      <w:r>
        <w:rPr>
          <w:rFonts w:ascii="Times New Roman" w:hAnsi="Times New Roman"/>
          <w:color w:val="000000"/>
          <w:sz w:val="24"/>
          <w:szCs w:val="24"/>
        </w:rPr>
        <w:t>та</w:t>
      </w:r>
      <w:r w:rsidRPr="009C5D97">
        <w:rPr>
          <w:rFonts w:ascii="Times New Roman" w:hAnsi="Times New Roman"/>
          <w:color w:val="000000"/>
          <w:sz w:val="24"/>
          <w:szCs w:val="24"/>
        </w:rPr>
        <w:t xml:space="preserve"> електронска форма, додека модулот за е-жалби обезбедува електронска размена на податоци во жалбените постапки.</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color w:val="000000"/>
          <w:sz w:val="24"/>
          <w:szCs w:val="24"/>
          <w:u w:val="single"/>
        </w:rPr>
        <w:t>Капацитет за спроведување и примена</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 xml:space="preserve">Во 2022 година </w:t>
      </w:r>
      <w:r w:rsidRPr="009C5D97">
        <w:rPr>
          <w:rFonts w:ascii="Times New Roman" w:hAnsi="Times New Roman"/>
          <w:b/>
          <w:bCs/>
          <w:color w:val="000000"/>
          <w:sz w:val="24"/>
          <w:szCs w:val="24"/>
        </w:rPr>
        <w:t>пазарот на јавни набавки</w:t>
      </w:r>
      <w:r w:rsidRPr="009C5D97">
        <w:rPr>
          <w:rFonts w:ascii="Times New Roman" w:hAnsi="Times New Roman"/>
          <w:color w:val="000000"/>
          <w:sz w:val="24"/>
          <w:szCs w:val="24"/>
        </w:rPr>
        <w:t xml:space="preserve"> изнесува</w:t>
      </w:r>
      <w:r>
        <w:rPr>
          <w:rFonts w:ascii="Times New Roman" w:hAnsi="Times New Roman"/>
          <w:color w:val="000000"/>
          <w:sz w:val="24"/>
          <w:szCs w:val="24"/>
        </w:rPr>
        <w:t>л</w:t>
      </w:r>
      <w:r w:rsidRPr="009C5D97">
        <w:rPr>
          <w:rFonts w:ascii="Times New Roman" w:hAnsi="Times New Roman"/>
          <w:color w:val="000000"/>
          <w:sz w:val="24"/>
          <w:szCs w:val="24"/>
        </w:rPr>
        <w:t xml:space="preserve"> 8,6</w:t>
      </w:r>
      <w:r>
        <w:rPr>
          <w:rFonts w:ascii="Times New Roman" w:hAnsi="Times New Roman"/>
          <w:color w:val="000000"/>
          <w:sz w:val="24"/>
          <w:szCs w:val="24"/>
        </w:rPr>
        <w:t xml:space="preserve"> </w:t>
      </w:r>
      <w:r w:rsidRPr="009C5D97">
        <w:rPr>
          <w:rFonts w:ascii="Times New Roman" w:hAnsi="Times New Roman"/>
          <w:color w:val="000000"/>
          <w:sz w:val="24"/>
          <w:szCs w:val="24"/>
        </w:rPr>
        <w:t>% од БДП на земјата во споредба со 11</w:t>
      </w:r>
      <w:r>
        <w:rPr>
          <w:rFonts w:ascii="Times New Roman" w:hAnsi="Times New Roman"/>
          <w:color w:val="000000"/>
          <w:sz w:val="24"/>
          <w:szCs w:val="24"/>
        </w:rPr>
        <w:t xml:space="preserve"> </w:t>
      </w:r>
      <w:r w:rsidRPr="009C5D97">
        <w:rPr>
          <w:rFonts w:ascii="Times New Roman" w:hAnsi="Times New Roman"/>
          <w:color w:val="000000"/>
          <w:sz w:val="24"/>
          <w:szCs w:val="24"/>
        </w:rPr>
        <w:t>% во 2021 година. Претставува</w:t>
      </w:r>
      <w:r>
        <w:rPr>
          <w:rFonts w:ascii="Times New Roman" w:hAnsi="Times New Roman"/>
          <w:color w:val="000000"/>
          <w:sz w:val="24"/>
          <w:szCs w:val="24"/>
        </w:rPr>
        <w:t>л</w:t>
      </w:r>
      <w:r w:rsidRPr="009C5D97">
        <w:rPr>
          <w:rFonts w:ascii="Times New Roman" w:hAnsi="Times New Roman"/>
          <w:color w:val="000000"/>
          <w:sz w:val="24"/>
          <w:szCs w:val="24"/>
        </w:rPr>
        <w:t xml:space="preserve"> 25% од државниот буџет. Капацитетот на централните и локалните договорни органи треба да се зајакне.</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Во однос на критериумите за доделување во постапките за јавни набавки, сè уште е ограничена примената на „економски најповолна понуда“. Во 2022 година од 22.901 известувањ</w:t>
      </w:r>
      <w:r>
        <w:rPr>
          <w:rFonts w:ascii="Times New Roman" w:hAnsi="Times New Roman"/>
          <w:color w:val="000000"/>
          <w:sz w:val="24"/>
          <w:szCs w:val="24"/>
        </w:rPr>
        <w:t>е</w:t>
      </w:r>
      <w:r w:rsidRPr="009C5D97">
        <w:rPr>
          <w:rFonts w:ascii="Times New Roman" w:hAnsi="Times New Roman"/>
          <w:color w:val="000000"/>
          <w:sz w:val="24"/>
          <w:szCs w:val="24"/>
        </w:rPr>
        <w:t xml:space="preserve"> за јавни набавки само 1.383 ги примен</w:t>
      </w:r>
      <w:r>
        <w:rPr>
          <w:rFonts w:ascii="Times New Roman" w:hAnsi="Times New Roman"/>
          <w:color w:val="000000"/>
          <w:sz w:val="24"/>
          <w:szCs w:val="24"/>
        </w:rPr>
        <w:t>иле</w:t>
      </w:r>
      <w:r w:rsidRPr="009C5D97">
        <w:rPr>
          <w:rFonts w:ascii="Times New Roman" w:hAnsi="Times New Roman"/>
          <w:color w:val="000000"/>
          <w:sz w:val="24"/>
          <w:szCs w:val="24"/>
        </w:rPr>
        <w:t xml:space="preserve"> критериумите за економски најповолна понуда (6,03</w:t>
      </w:r>
      <w:r>
        <w:rPr>
          <w:rFonts w:ascii="Times New Roman" w:hAnsi="Times New Roman"/>
          <w:color w:val="000000"/>
          <w:sz w:val="24"/>
          <w:szCs w:val="24"/>
        </w:rPr>
        <w:t xml:space="preserve"> </w:t>
      </w:r>
      <w:r w:rsidRPr="009C5D97">
        <w:rPr>
          <w:rFonts w:ascii="Times New Roman" w:hAnsi="Times New Roman"/>
          <w:color w:val="000000"/>
          <w:sz w:val="24"/>
          <w:szCs w:val="24"/>
        </w:rPr>
        <w:t xml:space="preserve">%). Има потреба од организација на </w:t>
      </w:r>
      <w:r>
        <w:rPr>
          <w:rFonts w:ascii="Times New Roman" w:hAnsi="Times New Roman"/>
          <w:color w:val="000000"/>
          <w:sz w:val="24"/>
          <w:szCs w:val="24"/>
        </w:rPr>
        <w:t>континуирана</w:t>
      </w:r>
      <w:r w:rsidRPr="009C5D97">
        <w:rPr>
          <w:rFonts w:ascii="Times New Roman" w:hAnsi="Times New Roman"/>
          <w:color w:val="000000"/>
          <w:sz w:val="24"/>
          <w:szCs w:val="24"/>
        </w:rPr>
        <w:t xml:space="preserve"> обука за договорните органи за примен</w:t>
      </w:r>
      <w:r>
        <w:rPr>
          <w:rFonts w:ascii="Times New Roman" w:hAnsi="Times New Roman"/>
          <w:color w:val="000000"/>
          <w:sz w:val="24"/>
          <w:szCs w:val="24"/>
        </w:rPr>
        <w:t>ата</w:t>
      </w:r>
      <w:r w:rsidRPr="009C5D97">
        <w:rPr>
          <w:rFonts w:ascii="Times New Roman" w:hAnsi="Times New Roman"/>
          <w:color w:val="000000"/>
          <w:sz w:val="24"/>
          <w:szCs w:val="24"/>
        </w:rPr>
        <w:t xml:space="preserve"> </w:t>
      </w:r>
      <w:r>
        <w:rPr>
          <w:rFonts w:ascii="Times New Roman" w:hAnsi="Times New Roman"/>
          <w:color w:val="000000"/>
          <w:sz w:val="24"/>
          <w:szCs w:val="24"/>
        </w:rPr>
        <w:t xml:space="preserve">на </w:t>
      </w:r>
      <w:r w:rsidRPr="009C5D97">
        <w:rPr>
          <w:rFonts w:ascii="Times New Roman" w:hAnsi="Times New Roman"/>
          <w:color w:val="000000"/>
          <w:sz w:val="24"/>
          <w:szCs w:val="24"/>
        </w:rPr>
        <w:t>овој критериум.</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b/>
          <w:bCs/>
          <w:color w:val="000000"/>
          <w:sz w:val="24"/>
          <w:szCs w:val="24"/>
        </w:rPr>
        <w:t>Следењето на доделувањето и спроведувањето</w:t>
      </w:r>
      <w:r w:rsidRPr="009C5D97">
        <w:rPr>
          <w:rFonts w:ascii="Times New Roman" w:hAnsi="Times New Roman"/>
          <w:color w:val="000000"/>
          <w:sz w:val="24"/>
          <w:szCs w:val="24"/>
        </w:rPr>
        <w:t xml:space="preserve"> </w:t>
      </w:r>
      <w:r w:rsidRPr="00721A72">
        <w:rPr>
          <w:rFonts w:ascii="Times New Roman" w:hAnsi="Times New Roman"/>
          <w:b/>
          <w:color w:val="000000"/>
          <w:sz w:val="24"/>
          <w:szCs w:val="24"/>
        </w:rPr>
        <w:t>договори</w:t>
      </w:r>
      <w:r w:rsidRPr="009C5D97">
        <w:rPr>
          <w:rFonts w:ascii="Times New Roman" w:hAnsi="Times New Roman"/>
          <w:color w:val="000000"/>
          <w:sz w:val="24"/>
          <w:szCs w:val="24"/>
        </w:rPr>
        <w:t xml:space="preserve"> покажува дека примената на постапки за набавка со преговарање (број постапки) падна</w:t>
      </w:r>
      <w:r>
        <w:rPr>
          <w:rFonts w:ascii="Times New Roman" w:hAnsi="Times New Roman"/>
          <w:color w:val="000000"/>
          <w:sz w:val="24"/>
          <w:szCs w:val="24"/>
        </w:rPr>
        <w:t>ла</w:t>
      </w:r>
      <w:r w:rsidRPr="009C5D97">
        <w:rPr>
          <w:rFonts w:ascii="Times New Roman" w:hAnsi="Times New Roman"/>
          <w:color w:val="000000"/>
          <w:sz w:val="24"/>
          <w:szCs w:val="24"/>
        </w:rPr>
        <w:t xml:space="preserve"> на 6,6</w:t>
      </w:r>
      <w:r>
        <w:rPr>
          <w:rFonts w:ascii="Times New Roman" w:hAnsi="Times New Roman"/>
          <w:color w:val="000000"/>
          <w:sz w:val="24"/>
          <w:szCs w:val="24"/>
        </w:rPr>
        <w:t xml:space="preserve"> </w:t>
      </w:r>
      <w:r w:rsidRPr="009C5D97">
        <w:rPr>
          <w:rFonts w:ascii="Times New Roman" w:hAnsi="Times New Roman"/>
          <w:color w:val="000000"/>
          <w:sz w:val="24"/>
          <w:szCs w:val="24"/>
        </w:rPr>
        <w:t>% во 2022 година од 8</w:t>
      </w:r>
      <w:r>
        <w:rPr>
          <w:rFonts w:ascii="Times New Roman" w:hAnsi="Times New Roman"/>
          <w:color w:val="000000"/>
          <w:sz w:val="24"/>
          <w:szCs w:val="24"/>
        </w:rPr>
        <w:t xml:space="preserve"> </w:t>
      </w:r>
      <w:r w:rsidRPr="009C5D97">
        <w:rPr>
          <w:rFonts w:ascii="Times New Roman" w:hAnsi="Times New Roman"/>
          <w:color w:val="000000"/>
          <w:sz w:val="24"/>
          <w:szCs w:val="24"/>
        </w:rPr>
        <w:t xml:space="preserve">% во 2021 година. Бирото за јавни набавки </w:t>
      </w:r>
      <w:r>
        <w:rPr>
          <w:rFonts w:ascii="Times New Roman" w:hAnsi="Times New Roman"/>
          <w:color w:val="000000"/>
          <w:sz w:val="24"/>
          <w:szCs w:val="24"/>
        </w:rPr>
        <w:t>в</w:t>
      </w:r>
      <w:r w:rsidRPr="009C5D97">
        <w:rPr>
          <w:rFonts w:ascii="Times New Roman" w:hAnsi="Times New Roman"/>
          <w:color w:val="000000"/>
          <w:sz w:val="24"/>
          <w:szCs w:val="24"/>
        </w:rPr>
        <w:t xml:space="preserve">о </w:t>
      </w:r>
      <w:r>
        <w:rPr>
          <w:rFonts w:ascii="Times New Roman" w:hAnsi="Times New Roman"/>
          <w:color w:val="000000"/>
          <w:sz w:val="24"/>
          <w:szCs w:val="24"/>
        </w:rPr>
        <w:t>моментов врши</w:t>
      </w:r>
      <w:r w:rsidRPr="009C5D97">
        <w:rPr>
          <w:rFonts w:ascii="Times New Roman" w:hAnsi="Times New Roman"/>
          <w:color w:val="000000"/>
          <w:sz w:val="24"/>
          <w:szCs w:val="24"/>
        </w:rPr>
        <w:t xml:space="preserve"> процена на примената на централизираните набавки и рамковните спогодби. Процентот на вкупна</w:t>
      </w:r>
      <w:r>
        <w:rPr>
          <w:rFonts w:ascii="Times New Roman" w:hAnsi="Times New Roman"/>
          <w:color w:val="000000"/>
          <w:sz w:val="24"/>
          <w:szCs w:val="24"/>
        </w:rPr>
        <w:t>та</w:t>
      </w:r>
      <w:r w:rsidRPr="009C5D97">
        <w:rPr>
          <w:rFonts w:ascii="Times New Roman" w:hAnsi="Times New Roman"/>
          <w:color w:val="000000"/>
          <w:sz w:val="24"/>
          <w:szCs w:val="24"/>
        </w:rPr>
        <w:t xml:space="preserve"> вредност на јавните набавки доделени на мали и на средни претпријатија се зголеми</w:t>
      </w:r>
      <w:r>
        <w:rPr>
          <w:rFonts w:ascii="Times New Roman" w:hAnsi="Times New Roman"/>
          <w:color w:val="000000"/>
          <w:sz w:val="24"/>
          <w:szCs w:val="24"/>
        </w:rPr>
        <w:t>л</w:t>
      </w:r>
      <w:r w:rsidRPr="009C5D97">
        <w:rPr>
          <w:rFonts w:ascii="Times New Roman" w:hAnsi="Times New Roman"/>
          <w:color w:val="000000"/>
          <w:sz w:val="24"/>
          <w:szCs w:val="24"/>
        </w:rPr>
        <w:t xml:space="preserve"> на 57</w:t>
      </w:r>
      <w:r>
        <w:rPr>
          <w:rFonts w:ascii="Times New Roman" w:hAnsi="Times New Roman"/>
          <w:color w:val="000000"/>
          <w:sz w:val="24"/>
          <w:szCs w:val="24"/>
        </w:rPr>
        <w:t xml:space="preserve"> </w:t>
      </w:r>
      <w:r w:rsidRPr="009C5D97">
        <w:rPr>
          <w:rFonts w:ascii="Times New Roman" w:hAnsi="Times New Roman"/>
          <w:color w:val="000000"/>
          <w:sz w:val="24"/>
          <w:szCs w:val="24"/>
        </w:rPr>
        <w:t>% во 2022 година во споредба со 53</w:t>
      </w:r>
      <w:r>
        <w:rPr>
          <w:rFonts w:ascii="Times New Roman" w:hAnsi="Times New Roman"/>
          <w:color w:val="000000"/>
          <w:sz w:val="24"/>
          <w:szCs w:val="24"/>
        </w:rPr>
        <w:t xml:space="preserve"> </w:t>
      </w:r>
      <w:r w:rsidRPr="009C5D97">
        <w:rPr>
          <w:rFonts w:ascii="Times New Roman" w:hAnsi="Times New Roman"/>
          <w:color w:val="000000"/>
          <w:sz w:val="24"/>
          <w:szCs w:val="24"/>
        </w:rPr>
        <w:t>% во 2021 година. Поништувањето на тендер</w:t>
      </w:r>
      <w:r>
        <w:rPr>
          <w:rFonts w:ascii="Times New Roman" w:hAnsi="Times New Roman"/>
          <w:color w:val="000000"/>
          <w:sz w:val="24"/>
          <w:szCs w:val="24"/>
        </w:rPr>
        <w:t>и</w:t>
      </w:r>
      <w:r w:rsidRPr="009C5D97">
        <w:rPr>
          <w:rFonts w:ascii="Times New Roman" w:hAnsi="Times New Roman"/>
          <w:color w:val="000000"/>
          <w:sz w:val="24"/>
          <w:szCs w:val="24"/>
        </w:rPr>
        <w:t xml:space="preserve"> (број </w:t>
      </w:r>
      <w:r>
        <w:rPr>
          <w:rFonts w:ascii="Times New Roman" w:hAnsi="Times New Roman"/>
          <w:color w:val="000000"/>
          <w:sz w:val="24"/>
          <w:szCs w:val="24"/>
        </w:rPr>
        <w:t xml:space="preserve">на </w:t>
      </w:r>
      <w:r w:rsidRPr="009C5D97">
        <w:rPr>
          <w:rFonts w:ascii="Times New Roman" w:hAnsi="Times New Roman"/>
          <w:color w:val="000000"/>
          <w:sz w:val="24"/>
          <w:szCs w:val="24"/>
        </w:rPr>
        <w:t>постапки) се зголеми</w:t>
      </w:r>
      <w:r>
        <w:rPr>
          <w:rFonts w:ascii="Times New Roman" w:hAnsi="Times New Roman"/>
          <w:color w:val="000000"/>
          <w:sz w:val="24"/>
          <w:szCs w:val="24"/>
        </w:rPr>
        <w:t>л</w:t>
      </w:r>
      <w:r w:rsidRPr="009C5D97">
        <w:rPr>
          <w:rFonts w:ascii="Times New Roman" w:hAnsi="Times New Roman"/>
          <w:color w:val="000000"/>
          <w:sz w:val="24"/>
          <w:szCs w:val="24"/>
        </w:rPr>
        <w:t xml:space="preserve"> на 31</w:t>
      </w:r>
      <w:r>
        <w:rPr>
          <w:rFonts w:ascii="Times New Roman" w:hAnsi="Times New Roman"/>
          <w:color w:val="000000"/>
          <w:sz w:val="24"/>
          <w:szCs w:val="24"/>
        </w:rPr>
        <w:t xml:space="preserve"> </w:t>
      </w:r>
      <w:r w:rsidRPr="009C5D97">
        <w:rPr>
          <w:rFonts w:ascii="Times New Roman" w:hAnsi="Times New Roman"/>
          <w:color w:val="000000"/>
          <w:sz w:val="24"/>
          <w:szCs w:val="24"/>
        </w:rPr>
        <w:t>% во споредба со 28,8</w:t>
      </w:r>
      <w:r>
        <w:rPr>
          <w:rFonts w:ascii="Times New Roman" w:hAnsi="Times New Roman"/>
          <w:color w:val="000000"/>
          <w:sz w:val="24"/>
          <w:szCs w:val="24"/>
        </w:rPr>
        <w:t xml:space="preserve"> </w:t>
      </w:r>
      <w:r w:rsidRPr="009C5D97">
        <w:rPr>
          <w:rFonts w:ascii="Times New Roman" w:hAnsi="Times New Roman"/>
          <w:color w:val="000000"/>
          <w:sz w:val="24"/>
          <w:szCs w:val="24"/>
        </w:rPr>
        <w:t>% во 2021 година. Во 2022 година просечниот</w:t>
      </w:r>
      <w:r w:rsidRPr="009C5D97">
        <w:rPr>
          <w:rFonts w:ascii="Times New Roman" w:hAnsi="Times New Roman"/>
          <w:sz w:val="24"/>
          <w:szCs w:val="24"/>
        </w:rPr>
        <w:t xml:space="preserve"> </w:t>
      </w:r>
      <w:r w:rsidRPr="009C5D97">
        <w:rPr>
          <w:rFonts w:ascii="Times New Roman" w:hAnsi="Times New Roman"/>
          <w:color w:val="000000"/>
          <w:sz w:val="24"/>
          <w:szCs w:val="24"/>
        </w:rPr>
        <w:t>број понуди беше три понуди по тендерска постапка и приближно една третина од договорите беа доделени во тендерски постапки со една понуда.</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b/>
          <w:bCs/>
          <w:color w:val="000000"/>
          <w:sz w:val="24"/>
          <w:szCs w:val="24"/>
        </w:rPr>
        <w:t>Капацитетот за управување со процесите на јавни набавки</w:t>
      </w:r>
      <w:r w:rsidRPr="009C5D97">
        <w:rPr>
          <w:rFonts w:ascii="Times New Roman" w:hAnsi="Times New Roman"/>
          <w:color w:val="000000"/>
          <w:sz w:val="24"/>
          <w:szCs w:val="24"/>
        </w:rPr>
        <w:t xml:space="preserve"> треба дополнително да се зајакне, особено од локалните власти, за да се постигне покохерентен пристап во управувањето со циклусот на набавки. Квалитетот на тендерската документација останува предизвик за помалите договорни органи.</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 xml:space="preserve">Регулаторните и институционалните механизми за </w:t>
      </w:r>
      <w:r w:rsidRPr="009C5D97">
        <w:rPr>
          <w:rFonts w:ascii="Times New Roman" w:hAnsi="Times New Roman"/>
          <w:b/>
          <w:bCs/>
          <w:color w:val="000000"/>
          <w:sz w:val="24"/>
          <w:szCs w:val="24"/>
        </w:rPr>
        <w:t>интегритет и судир на интереси</w:t>
      </w:r>
      <w:r w:rsidRPr="009C5D97">
        <w:rPr>
          <w:rFonts w:ascii="Times New Roman" w:hAnsi="Times New Roman"/>
          <w:color w:val="000000"/>
          <w:sz w:val="24"/>
          <w:szCs w:val="24"/>
        </w:rPr>
        <w:t xml:space="preserve"> сѐ уште </w:t>
      </w:r>
      <w:r>
        <w:rPr>
          <w:rFonts w:ascii="Times New Roman" w:hAnsi="Times New Roman"/>
          <w:color w:val="000000"/>
          <w:sz w:val="24"/>
          <w:szCs w:val="24"/>
        </w:rPr>
        <w:t xml:space="preserve">не </w:t>
      </w:r>
      <w:r w:rsidRPr="009C5D97">
        <w:rPr>
          <w:rFonts w:ascii="Times New Roman" w:hAnsi="Times New Roman"/>
          <w:color w:val="000000"/>
          <w:sz w:val="24"/>
          <w:szCs w:val="24"/>
        </w:rPr>
        <w:t>се доволни. Во циклусот на набавки не е вграден систем за процена на ризи</w:t>
      </w:r>
      <w:r>
        <w:rPr>
          <w:rFonts w:ascii="Times New Roman" w:hAnsi="Times New Roman"/>
          <w:color w:val="000000"/>
          <w:sz w:val="24"/>
          <w:szCs w:val="24"/>
        </w:rPr>
        <w:t>ци</w:t>
      </w:r>
      <w:r w:rsidRPr="009C5D97">
        <w:rPr>
          <w:rFonts w:ascii="Times New Roman" w:hAnsi="Times New Roman"/>
          <w:color w:val="000000"/>
          <w:sz w:val="24"/>
          <w:szCs w:val="24"/>
        </w:rPr>
        <w:t xml:space="preserve"> за да се обезбеди навремено информирање за можни коруптивни практики или за означување неправилности.</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color w:val="000000"/>
          <w:sz w:val="24"/>
          <w:szCs w:val="24"/>
          <w:u w:val="single"/>
        </w:rPr>
        <w:t>Ефикасен систем за правна заштита</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 xml:space="preserve">Законодавството за </w:t>
      </w:r>
      <w:r w:rsidRPr="009C5D97">
        <w:rPr>
          <w:rFonts w:ascii="Times New Roman" w:hAnsi="Times New Roman"/>
          <w:b/>
          <w:bCs/>
          <w:color w:val="000000"/>
          <w:sz w:val="24"/>
          <w:szCs w:val="24"/>
        </w:rPr>
        <w:t>правото на правен лек</w:t>
      </w:r>
      <w:r w:rsidRPr="009C5D97">
        <w:rPr>
          <w:rFonts w:ascii="Times New Roman" w:hAnsi="Times New Roman"/>
          <w:color w:val="000000"/>
          <w:sz w:val="24"/>
          <w:szCs w:val="24"/>
        </w:rPr>
        <w:t xml:space="preserve"> во голема мера е усогласено со правото на ЕУ. </w:t>
      </w:r>
      <w:r w:rsidRPr="009C5D97">
        <w:rPr>
          <w:rFonts w:ascii="Times New Roman" w:hAnsi="Times New Roman"/>
          <w:b/>
          <w:bCs/>
          <w:color w:val="000000"/>
          <w:sz w:val="24"/>
          <w:szCs w:val="24"/>
        </w:rPr>
        <w:t xml:space="preserve">Капацитетот за спроведување </w:t>
      </w:r>
      <w:r w:rsidRPr="009C5D97">
        <w:rPr>
          <w:rFonts w:ascii="Times New Roman" w:hAnsi="Times New Roman"/>
          <w:color w:val="000000"/>
          <w:sz w:val="24"/>
          <w:szCs w:val="24"/>
        </w:rPr>
        <w:t>на Државната комисија за жалби е недоволен за постапување со бројот</w:t>
      </w:r>
      <w:r>
        <w:rPr>
          <w:rFonts w:ascii="Times New Roman" w:hAnsi="Times New Roman"/>
          <w:color w:val="000000"/>
          <w:sz w:val="24"/>
          <w:szCs w:val="24"/>
        </w:rPr>
        <w:t xml:space="preserve"> на</w:t>
      </w:r>
      <w:r w:rsidRPr="009C5D97">
        <w:rPr>
          <w:rFonts w:ascii="Times New Roman" w:hAnsi="Times New Roman"/>
          <w:color w:val="000000"/>
          <w:sz w:val="24"/>
          <w:szCs w:val="24"/>
        </w:rPr>
        <w:t xml:space="preserve"> жалби (967 во 2022 година, 1.109 во 2021 година). Потребен е дополнителен квалификуван кадар за да </w:t>
      </w:r>
      <w:r>
        <w:rPr>
          <w:rFonts w:ascii="Times New Roman" w:hAnsi="Times New Roman"/>
          <w:color w:val="000000"/>
          <w:sz w:val="24"/>
          <w:szCs w:val="24"/>
        </w:rPr>
        <w:t xml:space="preserve">се </w:t>
      </w:r>
      <w:r w:rsidRPr="009C5D97">
        <w:rPr>
          <w:rFonts w:ascii="Times New Roman" w:hAnsi="Times New Roman"/>
          <w:color w:val="000000"/>
          <w:sz w:val="24"/>
          <w:szCs w:val="24"/>
        </w:rPr>
        <w:t>осигури навремена обработка на жалбите. Во периодот на известување против одлуките на Државната комисија за жалби до Управниот суд беа поднесени 83 жалби.</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 xml:space="preserve">За </w:t>
      </w:r>
      <w:r w:rsidRPr="009C5D97">
        <w:rPr>
          <w:rFonts w:ascii="Times New Roman" w:hAnsi="Times New Roman"/>
          <w:b/>
          <w:bCs/>
          <w:color w:val="000000"/>
          <w:sz w:val="24"/>
          <w:szCs w:val="24"/>
        </w:rPr>
        <w:t>спречувањето на корупцијата</w:t>
      </w:r>
      <w:r w:rsidRPr="009C5D97">
        <w:rPr>
          <w:rFonts w:ascii="Times New Roman" w:hAnsi="Times New Roman"/>
          <w:color w:val="000000"/>
          <w:sz w:val="24"/>
          <w:szCs w:val="24"/>
        </w:rPr>
        <w:t xml:space="preserve">, </w:t>
      </w:r>
      <w:r>
        <w:rPr>
          <w:rFonts w:ascii="Times New Roman" w:hAnsi="Times New Roman"/>
          <w:color w:val="000000"/>
          <w:sz w:val="24"/>
          <w:szCs w:val="24"/>
        </w:rPr>
        <w:t xml:space="preserve">во </w:t>
      </w:r>
      <w:r w:rsidRPr="00382B0A">
        <w:rPr>
          <w:rFonts w:ascii="Times New Roman" w:hAnsi="Times New Roman"/>
          <w:color w:val="000000"/>
          <w:sz w:val="24"/>
          <w:szCs w:val="24"/>
        </w:rPr>
        <w:t>ст</w:t>
      </w:r>
      <w:r w:rsidRPr="009C5D97">
        <w:rPr>
          <w:rFonts w:ascii="Times New Roman" w:hAnsi="Times New Roman"/>
          <w:color w:val="000000"/>
          <w:sz w:val="24"/>
          <w:szCs w:val="24"/>
        </w:rPr>
        <w:t xml:space="preserve">ратегијата за јавни набавки </w:t>
      </w:r>
      <w:r>
        <w:rPr>
          <w:rFonts w:ascii="Times New Roman" w:hAnsi="Times New Roman"/>
          <w:color w:val="000000"/>
          <w:sz w:val="24"/>
          <w:szCs w:val="24"/>
        </w:rPr>
        <w:t xml:space="preserve">се </w:t>
      </w:r>
      <w:r w:rsidRPr="009C5D97">
        <w:rPr>
          <w:rFonts w:ascii="Times New Roman" w:hAnsi="Times New Roman"/>
          <w:color w:val="000000"/>
          <w:sz w:val="24"/>
          <w:szCs w:val="24"/>
        </w:rPr>
        <w:t>вклуч</w:t>
      </w:r>
      <w:r>
        <w:rPr>
          <w:rFonts w:ascii="Times New Roman" w:hAnsi="Times New Roman"/>
          <w:color w:val="000000"/>
          <w:sz w:val="24"/>
          <w:szCs w:val="24"/>
        </w:rPr>
        <w:t>ени</w:t>
      </w:r>
      <w:r w:rsidRPr="009C5D97">
        <w:rPr>
          <w:rFonts w:ascii="Times New Roman" w:hAnsi="Times New Roman"/>
          <w:color w:val="000000"/>
          <w:sz w:val="24"/>
          <w:szCs w:val="24"/>
        </w:rPr>
        <w:t xml:space="preserve"> мерки за борба против корупцијата и судирот на интереси. Сепак, последователното следење на извештаите </w:t>
      </w:r>
      <w:r w:rsidR="00652875">
        <w:rPr>
          <w:rFonts w:ascii="Times New Roman" w:hAnsi="Times New Roman"/>
          <w:color w:val="000000"/>
          <w:sz w:val="24"/>
          <w:szCs w:val="24"/>
        </w:rPr>
        <w:t>за црвени знаменца</w:t>
      </w:r>
      <w:r w:rsidRPr="009C5D97">
        <w:rPr>
          <w:rFonts w:ascii="Times New Roman" w:hAnsi="Times New Roman"/>
          <w:color w:val="000000"/>
          <w:sz w:val="24"/>
          <w:szCs w:val="24"/>
        </w:rPr>
        <w:t xml:space="preserve"> објавени на веб</w:t>
      </w:r>
      <w:r>
        <w:rPr>
          <w:rFonts w:ascii="Times New Roman" w:hAnsi="Times New Roman"/>
          <w:color w:val="000000"/>
          <w:sz w:val="24"/>
          <w:szCs w:val="24"/>
        </w:rPr>
        <w:t>-</w:t>
      </w:r>
      <w:r w:rsidRPr="009C5D97">
        <w:rPr>
          <w:rFonts w:ascii="Times New Roman" w:hAnsi="Times New Roman"/>
          <w:color w:val="000000"/>
          <w:sz w:val="24"/>
          <w:szCs w:val="24"/>
        </w:rPr>
        <w:t>страницата на БЈН не</w:t>
      </w:r>
      <w:r>
        <w:rPr>
          <w:rFonts w:ascii="Times New Roman" w:hAnsi="Times New Roman"/>
          <w:color w:val="000000"/>
          <w:sz w:val="24"/>
          <w:szCs w:val="24"/>
        </w:rPr>
        <w:t xml:space="preserve"> е </w:t>
      </w:r>
      <w:r w:rsidRPr="009C5D97">
        <w:rPr>
          <w:rFonts w:ascii="Times New Roman" w:hAnsi="Times New Roman"/>
          <w:color w:val="000000"/>
          <w:sz w:val="24"/>
          <w:szCs w:val="24"/>
        </w:rPr>
        <w:t>доволно. Земјата треба да ја подобри институционалната координација со Државната комисија за спречување на корупција и институциите за спроведување на законот за понатамошно след</w:t>
      </w:r>
      <w:r>
        <w:rPr>
          <w:rFonts w:ascii="Times New Roman" w:hAnsi="Times New Roman"/>
          <w:color w:val="000000"/>
          <w:sz w:val="24"/>
          <w:szCs w:val="24"/>
        </w:rPr>
        <w:t>ење на</w:t>
      </w:r>
      <w:r w:rsidRPr="009C5D97">
        <w:rPr>
          <w:rFonts w:ascii="Times New Roman" w:hAnsi="Times New Roman"/>
          <w:color w:val="000000"/>
          <w:sz w:val="24"/>
          <w:szCs w:val="24"/>
        </w:rPr>
        <w:t xml:space="preserve"> наодите од извештаите</w:t>
      </w:r>
      <w:r w:rsidRPr="008E38D0">
        <w:rPr>
          <w:rFonts w:ascii="Times New Roman" w:hAnsi="Times New Roman"/>
          <w:color w:val="000000"/>
          <w:sz w:val="24"/>
          <w:szCs w:val="24"/>
        </w:rPr>
        <w:t xml:space="preserve"> </w:t>
      </w:r>
      <w:r w:rsidR="00652875">
        <w:rPr>
          <w:rFonts w:ascii="Times New Roman" w:hAnsi="Times New Roman"/>
          <w:color w:val="000000"/>
          <w:sz w:val="24"/>
          <w:szCs w:val="24"/>
        </w:rPr>
        <w:t>за црвени знаменца</w:t>
      </w:r>
      <w:r w:rsidRPr="009C5D97">
        <w:rPr>
          <w:rFonts w:ascii="Times New Roman" w:hAnsi="Times New Roman"/>
          <w:color w:val="000000"/>
          <w:sz w:val="24"/>
          <w:szCs w:val="24"/>
        </w:rPr>
        <w:t>.</w:t>
      </w:r>
    </w:p>
    <w:p w:rsidR="009768C4" w:rsidRPr="009C5D97" w:rsidRDefault="009768C4" w:rsidP="00A661C4">
      <w:pPr>
        <w:pStyle w:val="Heading2"/>
      </w:pPr>
      <w:bookmarkStart w:id="38" w:name="bookmark30"/>
      <w:bookmarkStart w:id="39" w:name="_Toc150864256"/>
      <w:r w:rsidRPr="009C5D97">
        <w:t>П</w:t>
      </w:r>
      <w:bookmarkEnd w:id="38"/>
      <w:r w:rsidRPr="009C5D97">
        <w:t>оглавје 18: Статистика</w:t>
      </w:r>
      <w:bookmarkEnd w:id="39"/>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i/>
          <w:iCs/>
          <w:color w:val="000000"/>
          <w:sz w:val="24"/>
          <w:szCs w:val="24"/>
        </w:rPr>
        <w:t>Правилата на ЕУ наложуваат земјите членки да изготв</w:t>
      </w:r>
      <w:r>
        <w:rPr>
          <w:rFonts w:ascii="Times New Roman" w:hAnsi="Times New Roman"/>
          <w:i/>
          <w:iCs/>
          <w:color w:val="000000"/>
          <w:sz w:val="24"/>
          <w:szCs w:val="24"/>
        </w:rPr>
        <w:t>ува</w:t>
      </w:r>
      <w:r w:rsidRPr="009C5D97">
        <w:rPr>
          <w:rFonts w:ascii="Times New Roman" w:hAnsi="Times New Roman"/>
          <w:i/>
          <w:iCs/>
          <w:color w:val="000000"/>
          <w:sz w:val="24"/>
          <w:szCs w:val="24"/>
        </w:rPr>
        <w:t>ат статистики врз основа на начелата за професионална независност, непристрасност, веродостојност, транспарентност и доверливост. Воспоставени се заеднички правила за методологија, производство и дисеминација на статистички информации.</w:t>
      </w:r>
    </w:p>
    <w:p w:rsidR="009768C4" w:rsidRPr="009C5D97"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 xml:space="preserve">Земјата е </w:t>
      </w:r>
      <w:r w:rsidRPr="009C5D97">
        <w:rPr>
          <w:rFonts w:ascii="Times New Roman" w:hAnsi="Times New Roman"/>
          <w:b/>
          <w:bCs/>
          <w:color w:val="000000"/>
          <w:sz w:val="24"/>
          <w:szCs w:val="24"/>
        </w:rPr>
        <w:t>умерено подготвена</w:t>
      </w:r>
      <w:r w:rsidRPr="009C5D97">
        <w:rPr>
          <w:rFonts w:ascii="Times New Roman" w:hAnsi="Times New Roman"/>
          <w:color w:val="000000"/>
          <w:sz w:val="24"/>
          <w:szCs w:val="24"/>
        </w:rPr>
        <w:t xml:space="preserve"> во областа на статистиката. Постигнат е </w:t>
      </w:r>
      <w:r w:rsidRPr="009C5D97">
        <w:rPr>
          <w:rFonts w:ascii="Times New Roman" w:hAnsi="Times New Roman"/>
          <w:b/>
          <w:bCs/>
          <w:color w:val="000000"/>
          <w:sz w:val="24"/>
          <w:szCs w:val="24"/>
        </w:rPr>
        <w:t>добар напредок</w:t>
      </w:r>
      <w:r w:rsidRPr="009C5D97">
        <w:rPr>
          <w:rFonts w:ascii="Times New Roman" w:hAnsi="Times New Roman"/>
          <w:color w:val="000000"/>
          <w:sz w:val="24"/>
          <w:szCs w:val="24"/>
        </w:rPr>
        <w:t xml:space="preserve">, особено во финализирањето на објавата на податоците од </w:t>
      </w:r>
      <w:r>
        <w:rPr>
          <w:rFonts w:ascii="Times New Roman" w:hAnsi="Times New Roman"/>
          <w:color w:val="000000"/>
          <w:sz w:val="24"/>
          <w:szCs w:val="24"/>
        </w:rPr>
        <w:t>П</w:t>
      </w:r>
      <w:r w:rsidRPr="009C5D97">
        <w:rPr>
          <w:rFonts w:ascii="Times New Roman" w:hAnsi="Times New Roman"/>
          <w:color w:val="000000"/>
          <w:sz w:val="24"/>
          <w:szCs w:val="24"/>
        </w:rPr>
        <w:t>описот на населението во декември 2022 година. Забележани се подобрувања во сите статистички области и во усогласувањето на секторските статистики со стандардите на ЕУ, вклучително и преку подобра примена на административни извори. Потребни се континуирани напори за подобрување на обемот и квалитетот на основната макроекономска и социјална статистика.</w:t>
      </w:r>
    </w:p>
    <w:p w:rsidR="009768C4" w:rsidRPr="009C5D97"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Во текот на наредната година земјата особено треба:</w:t>
      </w:r>
    </w:p>
    <w:p w:rsidR="009768C4" w:rsidRPr="009C5D97"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w:t>
      </w:r>
      <w:r w:rsidRPr="009C5D97">
        <w:rPr>
          <w:rFonts w:ascii="Times New Roman" w:hAnsi="Times New Roman"/>
          <w:color w:val="000000"/>
          <w:sz w:val="24"/>
          <w:szCs w:val="24"/>
        </w:rPr>
        <w:tab/>
        <w:t>да спроведе попис на земјоделството до јуни 2024 година;</w:t>
      </w:r>
    </w:p>
    <w:p w:rsidR="009768C4" w:rsidRPr="009C5D97"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w:t>
      </w:r>
      <w:r w:rsidRPr="009C5D97">
        <w:rPr>
          <w:rFonts w:ascii="Times New Roman" w:hAnsi="Times New Roman"/>
          <w:color w:val="000000"/>
          <w:sz w:val="24"/>
          <w:szCs w:val="24"/>
        </w:rPr>
        <w:tab/>
        <w:t>итно да обезбеди соодветна кадровска екипираност и доволно финансиски средства за Државниот завод за статистика;</w:t>
      </w:r>
    </w:p>
    <w:p w:rsidR="009768C4" w:rsidRPr="009C5D97"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w:t>
      </w:r>
      <w:r w:rsidRPr="009C5D97">
        <w:rPr>
          <w:rFonts w:ascii="Times New Roman" w:hAnsi="Times New Roman"/>
          <w:color w:val="000000"/>
          <w:sz w:val="24"/>
          <w:szCs w:val="24"/>
        </w:rPr>
        <w:tab/>
        <w:t>да продолжи да ја подобрува макроекономската статистика, особено со подобрување на доследноста, навременоста и опфатот на прекумерната дефицитарна постапка и државната финансиска статистика и со натамошно усогласување на финансиските сметки и кварталните национални сметки со Европскиот систем на сметки 2010 (ЕСС 2010).</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b/>
          <w:bCs/>
          <w:color w:val="000000"/>
          <w:sz w:val="24"/>
          <w:szCs w:val="24"/>
        </w:rPr>
        <w:t>Статистичката инфраструктура</w:t>
      </w:r>
      <w:r w:rsidRPr="009C5D97">
        <w:rPr>
          <w:rFonts w:ascii="Times New Roman" w:hAnsi="Times New Roman"/>
          <w:color w:val="000000"/>
          <w:sz w:val="24"/>
          <w:szCs w:val="24"/>
        </w:rPr>
        <w:t xml:space="preserve"> постигна високо ниво на усогласеност со правото на ЕУ и со меѓународните стандарди. Во февруари 2023 година Владата доне</w:t>
      </w:r>
      <w:r>
        <w:rPr>
          <w:rFonts w:ascii="Times New Roman" w:hAnsi="Times New Roman"/>
          <w:color w:val="000000"/>
          <w:sz w:val="24"/>
          <w:szCs w:val="24"/>
        </w:rPr>
        <w:t>ла</w:t>
      </w:r>
      <w:r w:rsidRPr="009C5D97">
        <w:rPr>
          <w:rFonts w:ascii="Times New Roman" w:hAnsi="Times New Roman"/>
          <w:color w:val="000000"/>
          <w:sz w:val="24"/>
          <w:szCs w:val="24"/>
        </w:rPr>
        <w:t xml:space="preserve"> нова програма за статистички истражувања за </w:t>
      </w:r>
      <w:r>
        <w:rPr>
          <w:rFonts w:ascii="Times New Roman" w:hAnsi="Times New Roman"/>
          <w:color w:val="000000"/>
          <w:sz w:val="24"/>
          <w:szCs w:val="24"/>
        </w:rPr>
        <w:t xml:space="preserve">периодот </w:t>
      </w:r>
      <w:r w:rsidRPr="009C5D97">
        <w:rPr>
          <w:rFonts w:ascii="Times New Roman" w:hAnsi="Times New Roman"/>
          <w:color w:val="000000"/>
          <w:sz w:val="24"/>
          <w:szCs w:val="24"/>
        </w:rPr>
        <w:t>2023</w:t>
      </w:r>
      <w:r>
        <w:rPr>
          <w:rFonts w:ascii="Times New Roman" w:hAnsi="Times New Roman"/>
          <w:color w:val="000000"/>
          <w:sz w:val="24"/>
          <w:szCs w:val="24"/>
        </w:rPr>
        <w:t xml:space="preserve"> - </w:t>
      </w:r>
      <w:r w:rsidRPr="009C5D97">
        <w:rPr>
          <w:rFonts w:ascii="Times New Roman" w:hAnsi="Times New Roman"/>
          <w:color w:val="000000"/>
          <w:sz w:val="24"/>
          <w:szCs w:val="24"/>
        </w:rPr>
        <w:t>2027</w:t>
      </w:r>
      <w:r>
        <w:rPr>
          <w:rFonts w:ascii="Times New Roman" w:hAnsi="Times New Roman"/>
          <w:color w:val="000000"/>
          <w:sz w:val="24"/>
          <w:szCs w:val="24"/>
        </w:rPr>
        <w:t xml:space="preserve"> година</w:t>
      </w:r>
      <w:r w:rsidRPr="009C5D97">
        <w:rPr>
          <w:rFonts w:ascii="Times New Roman" w:hAnsi="Times New Roman"/>
          <w:color w:val="000000"/>
          <w:sz w:val="24"/>
          <w:szCs w:val="24"/>
        </w:rPr>
        <w:t>. Друг главен статистички орган, Народната банка</w:t>
      </w:r>
      <w:r>
        <w:rPr>
          <w:rFonts w:ascii="Times New Roman" w:hAnsi="Times New Roman"/>
          <w:color w:val="000000"/>
          <w:sz w:val="24"/>
          <w:szCs w:val="24"/>
        </w:rPr>
        <w:t>,</w:t>
      </w:r>
      <w:r w:rsidRPr="009C5D97">
        <w:rPr>
          <w:rFonts w:ascii="Times New Roman" w:hAnsi="Times New Roman"/>
          <w:color w:val="000000"/>
          <w:sz w:val="24"/>
          <w:szCs w:val="24"/>
        </w:rPr>
        <w:t xml:space="preserve"> останува целосно усогласена со Кодексот за работа на европската статистика. Министерството за финансии сè уште нема назначено раководител за статистика. Во однос на управувањето со квалитетот, во 2023 година Државниот завод за статистика (ДЗС) вове</w:t>
      </w:r>
      <w:r>
        <w:rPr>
          <w:rFonts w:ascii="Times New Roman" w:hAnsi="Times New Roman"/>
          <w:color w:val="000000"/>
          <w:sz w:val="24"/>
          <w:szCs w:val="24"/>
        </w:rPr>
        <w:t>л</w:t>
      </w:r>
      <w:r w:rsidRPr="009C5D97">
        <w:rPr>
          <w:rFonts w:ascii="Times New Roman" w:hAnsi="Times New Roman"/>
          <w:color w:val="000000"/>
          <w:sz w:val="24"/>
          <w:szCs w:val="24"/>
        </w:rPr>
        <w:t xml:space="preserve"> внатрешна ревизија за квалитет за да се следи квалитетот на производите и процесите. Човечките ресурси во ДЗС само </w:t>
      </w:r>
      <w:r w:rsidRPr="00382B0A">
        <w:rPr>
          <w:rFonts w:ascii="Times New Roman" w:hAnsi="Times New Roman"/>
          <w:color w:val="000000"/>
          <w:sz w:val="24"/>
          <w:szCs w:val="24"/>
        </w:rPr>
        <w:t>благо</w:t>
      </w:r>
      <w:r w:rsidRPr="009C5D97">
        <w:rPr>
          <w:rFonts w:ascii="Times New Roman" w:hAnsi="Times New Roman"/>
          <w:color w:val="000000"/>
          <w:sz w:val="24"/>
          <w:szCs w:val="24"/>
        </w:rPr>
        <w:t xml:space="preserve"> се зголеми</w:t>
      </w:r>
      <w:r>
        <w:rPr>
          <w:rFonts w:ascii="Times New Roman" w:hAnsi="Times New Roman"/>
          <w:color w:val="000000"/>
          <w:sz w:val="24"/>
          <w:szCs w:val="24"/>
        </w:rPr>
        <w:t>ле</w:t>
      </w:r>
      <w:r w:rsidRPr="009C5D97">
        <w:rPr>
          <w:rFonts w:ascii="Times New Roman" w:hAnsi="Times New Roman"/>
          <w:color w:val="000000"/>
          <w:sz w:val="24"/>
          <w:szCs w:val="24"/>
        </w:rPr>
        <w:t>. Сепак, годишниот буџет на ДЗС</w:t>
      </w:r>
      <w:r w:rsidRPr="009C5D97">
        <w:rPr>
          <w:rFonts w:ascii="Times New Roman" w:hAnsi="Times New Roman"/>
          <w:sz w:val="24"/>
          <w:szCs w:val="24"/>
        </w:rPr>
        <w:t xml:space="preserve"> </w:t>
      </w:r>
      <w:r w:rsidRPr="009C5D97">
        <w:rPr>
          <w:rFonts w:ascii="Times New Roman" w:hAnsi="Times New Roman"/>
          <w:color w:val="000000"/>
          <w:sz w:val="24"/>
          <w:szCs w:val="24"/>
        </w:rPr>
        <w:t>за редовно работење се зголеми</w:t>
      </w:r>
      <w:r>
        <w:rPr>
          <w:rFonts w:ascii="Times New Roman" w:hAnsi="Times New Roman"/>
          <w:color w:val="000000"/>
          <w:sz w:val="24"/>
          <w:szCs w:val="24"/>
        </w:rPr>
        <w:t>л</w:t>
      </w:r>
      <w:r w:rsidRPr="009C5D97">
        <w:rPr>
          <w:rFonts w:ascii="Times New Roman" w:hAnsi="Times New Roman"/>
          <w:color w:val="000000"/>
          <w:sz w:val="24"/>
          <w:szCs w:val="24"/>
        </w:rPr>
        <w:t xml:space="preserve"> за 9,4</w:t>
      </w:r>
      <w:r>
        <w:rPr>
          <w:rFonts w:ascii="Times New Roman" w:hAnsi="Times New Roman"/>
          <w:color w:val="000000"/>
          <w:sz w:val="24"/>
          <w:szCs w:val="24"/>
        </w:rPr>
        <w:t xml:space="preserve"> </w:t>
      </w:r>
      <w:r w:rsidRPr="009C5D97">
        <w:rPr>
          <w:rFonts w:ascii="Times New Roman" w:hAnsi="Times New Roman"/>
          <w:color w:val="000000"/>
          <w:sz w:val="24"/>
          <w:szCs w:val="24"/>
        </w:rPr>
        <w:t>% во номинални вредности во 2023 година во споредба со 2022 година, за разлика од претходниот негативен тренд.</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 xml:space="preserve">Во однос на </w:t>
      </w:r>
      <w:r w:rsidRPr="009C5D97">
        <w:rPr>
          <w:rFonts w:ascii="Times New Roman" w:hAnsi="Times New Roman"/>
          <w:b/>
          <w:bCs/>
          <w:color w:val="000000"/>
          <w:sz w:val="24"/>
          <w:szCs w:val="24"/>
        </w:rPr>
        <w:t>класификациите и регистрите</w:t>
      </w:r>
      <w:r w:rsidRPr="009C5D97">
        <w:rPr>
          <w:rFonts w:ascii="Times New Roman" w:hAnsi="Times New Roman"/>
          <w:color w:val="000000"/>
          <w:sz w:val="24"/>
          <w:szCs w:val="24"/>
        </w:rPr>
        <w:t>, главните класификации се во согласност со правото на ЕУ и редовно се ажурираат. Постигнат е напредок во примената на административни податоци за развој на регистарот за вработување. Во јуни 2022 година ДЗС започна</w:t>
      </w:r>
      <w:r>
        <w:rPr>
          <w:rFonts w:ascii="Times New Roman" w:hAnsi="Times New Roman"/>
          <w:color w:val="000000"/>
          <w:sz w:val="24"/>
          <w:szCs w:val="24"/>
        </w:rPr>
        <w:t>л</w:t>
      </w:r>
      <w:r w:rsidRPr="009C5D97">
        <w:rPr>
          <w:rFonts w:ascii="Times New Roman" w:hAnsi="Times New Roman"/>
          <w:color w:val="000000"/>
          <w:sz w:val="24"/>
          <w:szCs w:val="24"/>
        </w:rPr>
        <w:t xml:space="preserve"> со тестирање на новиот логички дизајн на новиот национален Статистичкиот деловен регистар. Дополнително се зголеми</w:t>
      </w:r>
      <w:r>
        <w:rPr>
          <w:rFonts w:ascii="Times New Roman" w:hAnsi="Times New Roman"/>
          <w:color w:val="000000"/>
          <w:sz w:val="24"/>
          <w:szCs w:val="24"/>
        </w:rPr>
        <w:t>ло</w:t>
      </w:r>
      <w:r w:rsidRPr="009C5D97">
        <w:rPr>
          <w:rFonts w:ascii="Times New Roman" w:hAnsi="Times New Roman"/>
          <w:color w:val="000000"/>
          <w:sz w:val="24"/>
          <w:szCs w:val="24"/>
        </w:rPr>
        <w:t xml:space="preserve"> севкупното доставување податоци до Евростат.</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 xml:space="preserve">Земјата постигна одреден напредок во однос на </w:t>
      </w:r>
      <w:r w:rsidRPr="009C5D97">
        <w:rPr>
          <w:rFonts w:ascii="Times New Roman" w:hAnsi="Times New Roman"/>
          <w:b/>
          <w:bCs/>
          <w:color w:val="000000"/>
          <w:sz w:val="24"/>
          <w:szCs w:val="24"/>
        </w:rPr>
        <w:t>макроекономската статистика</w:t>
      </w:r>
      <w:r w:rsidRPr="009C5D97">
        <w:rPr>
          <w:rFonts w:ascii="Times New Roman" w:hAnsi="Times New Roman"/>
          <w:color w:val="000000"/>
          <w:sz w:val="24"/>
          <w:szCs w:val="24"/>
        </w:rPr>
        <w:t xml:space="preserve">. ДСЗ </w:t>
      </w:r>
      <w:r>
        <w:rPr>
          <w:rFonts w:ascii="Times New Roman" w:hAnsi="Times New Roman"/>
          <w:color w:val="000000"/>
          <w:sz w:val="24"/>
          <w:szCs w:val="24"/>
        </w:rPr>
        <w:t>оствари</w:t>
      </w:r>
      <w:r w:rsidRPr="009C5D97">
        <w:rPr>
          <w:rFonts w:ascii="Times New Roman" w:hAnsi="Times New Roman"/>
          <w:color w:val="000000"/>
          <w:sz w:val="24"/>
          <w:szCs w:val="24"/>
        </w:rPr>
        <w:t xml:space="preserve"> многу ограничен напредок во однос на табелите за прекумерна дефицитарна постапка. Во октомври 2022 година и во април 2023 година ДЗС до Евростат ги прене</w:t>
      </w:r>
      <w:r>
        <w:rPr>
          <w:rFonts w:ascii="Times New Roman" w:hAnsi="Times New Roman"/>
          <w:color w:val="000000"/>
          <w:sz w:val="24"/>
          <w:szCs w:val="24"/>
        </w:rPr>
        <w:t>л</w:t>
      </w:r>
      <w:r w:rsidRPr="009C5D97">
        <w:rPr>
          <w:rFonts w:ascii="Times New Roman" w:hAnsi="Times New Roman"/>
          <w:color w:val="000000"/>
          <w:sz w:val="24"/>
          <w:szCs w:val="24"/>
        </w:rPr>
        <w:t xml:space="preserve"> табелите за известување за прекумерна дефицитарна постапка за Северна Македонија. </w:t>
      </w:r>
      <w:r>
        <w:rPr>
          <w:rFonts w:ascii="Times New Roman" w:hAnsi="Times New Roman"/>
          <w:color w:val="000000"/>
          <w:sz w:val="24"/>
          <w:szCs w:val="24"/>
        </w:rPr>
        <w:t>Во п</w:t>
      </w:r>
      <w:r w:rsidRPr="009C5D97">
        <w:rPr>
          <w:rFonts w:ascii="Times New Roman" w:hAnsi="Times New Roman"/>
          <w:color w:val="000000"/>
          <w:sz w:val="24"/>
          <w:szCs w:val="24"/>
        </w:rPr>
        <w:t xml:space="preserve">оследното доставување </w:t>
      </w:r>
      <w:r w:rsidR="006064D8">
        <w:rPr>
          <w:rFonts w:ascii="Times New Roman" w:hAnsi="Times New Roman"/>
          <w:color w:val="000000"/>
          <w:sz w:val="24"/>
          <w:szCs w:val="24"/>
        </w:rPr>
        <w:t xml:space="preserve">беа </w:t>
      </w:r>
      <w:r w:rsidRPr="009C5D97">
        <w:rPr>
          <w:rFonts w:ascii="Times New Roman" w:hAnsi="Times New Roman"/>
          <w:color w:val="000000"/>
          <w:sz w:val="24"/>
          <w:szCs w:val="24"/>
        </w:rPr>
        <w:t>вклуч</w:t>
      </w:r>
      <w:r>
        <w:rPr>
          <w:rFonts w:ascii="Times New Roman" w:hAnsi="Times New Roman"/>
          <w:color w:val="000000"/>
          <w:sz w:val="24"/>
          <w:szCs w:val="24"/>
        </w:rPr>
        <w:t>ени</w:t>
      </w:r>
      <w:r w:rsidRPr="009C5D97">
        <w:rPr>
          <w:rFonts w:ascii="Times New Roman" w:hAnsi="Times New Roman"/>
          <w:color w:val="000000"/>
          <w:sz w:val="24"/>
          <w:szCs w:val="24"/>
        </w:rPr>
        <w:t xml:space="preserve"> податоци за 2022 година (односно </w:t>
      </w:r>
      <w:r>
        <w:rPr>
          <w:rFonts w:ascii="Times New Roman" w:hAnsi="Times New Roman"/>
          <w:color w:val="000000"/>
          <w:sz w:val="24"/>
          <w:szCs w:val="24"/>
        </w:rPr>
        <w:t xml:space="preserve">првпат </w:t>
      </w:r>
      <w:r w:rsidRPr="009C5D97">
        <w:rPr>
          <w:rFonts w:ascii="Times New Roman" w:hAnsi="Times New Roman"/>
          <w:color w:val="000000"/>
          <w:sz w:val="24"/>
          <w:szCs w:val="24"/>
        </w:rPr>
        <w:t>податоци за т-1). Потребни се значителн</w:t>
      </w:r>
      <w:r>
        <w:rPr>
          <w:rFonts w:ascii="Times New Roman" w:hAnsi="Times New Roman"/>
          <w:color w:val="000000"/>
          <w:sz w:val="24"/>
          <w:szCs w:val="24"/>
        </w:rPr>
        <w:t>и</w:t>
      </w:r>
      <w:r w:rsidRPr="009C5D97">
        <w:rPr>
          <w:rFonts w:ascii="Times New Roman" w:hAnsi="Times New Roman"/>
          <w:color w:val="000000"/>
          <w:sz w:val="24"/>
          <w:szCs w:val="24"/>
        </w:rPr>
        <w:t xml:space="preserve"> дополнителни напори за да се подобр</w:t>
      </w:r>
      <w:r>
        <w:rPr>
          <w:rFonts w:ascii="Times New Roman" w:hAnsi="Times New Roman"/>
          <w:color w:val="000000"/>
          <w:sz w:val="24"/>
          <w:szCs w:val="24"/>
        </w:rPr>
        <w:t>ат</w:t>
      </w:r>
      <w:r w:rsidRPr="009C5D97">
        <w:rPr>
          <w:rFonts w:ascii="Times New Roman" w:hAnsi="Times New Roman"/>
          <w:color w:val="000000"/>
          <w:sz w:val="24"/>
          <w:szCs w:val="24"/>
        </w:rPr>
        <w:t xml:space="preserve"> квалитетот, доследноста, опфатот и навременоста на табелите за прекумерна дефицитарна постапка и за статистиката за државните финансии обезбедена преку Програмата за пренос ЕСС 2010. Понатаму, за </w:t>
      </w:r>
      <w:r>
        <w:rPr>
          <w:rFonts w:ascii="Times New Roman" w:hAnsi="Times New Roman"/>
          <w:color w:val="000000"/>
          <w:sz w:val="24"/>
          <w:szCs w:val="24"/>
        </w:rPr>
        <w:t xml:space="preserve">да </w:t>
      </w:r>
      <w:r w:rsidRPr="009C5D97">
        <w:rPr>
          <w:rFonts w:ascii="Times New Roman" w:hAnsi="Times New Roman"/>
          <w:color w:val="000000"/>
          <w:sz w:val="24"/>
          <w:szCs w:val="24"/>
        </w:rPr>
        <w:t xml:space="preserve">има усогласеност со правилата на ЕСС 2010 за секторската класификација, потребно е без натамошно одложување во владиниот сектор да се направи прекласификација на голема јавна компанија со значително влијание врз државниот дефицит и долг. За кварталните сметки, табелите за БДП по приход во август 2023 година </w:t>
      </w:r>
      <w:r>
        <w:rPr>
          <w:rFonts w:ascii="Times New Roman" w:hAnsi="Times New Roman"/>
          <w:color w:val="000000"/>
          <w:sz w:val="24"/>
          <w:szCs w:val="24"/>
        </w:rPr>
        <w:t xml:space="preserve">се подготвени и </w:t>
      </w:r>
      <w:r w:rsidRPr="009C5D97">
        <w:rPr>
          <w:rFonts w:ascii="Times New Roman" w:hAnsi="Times New Roman"/>
          <w:color w:val="000000"/>
          <w:sz w:val="24"/>
          <w:szCs w:val="24"/>
        </w:rPr>
        <w:t>пратени до ЕСТАТ за објавување. Сепак, потребни се дополнителни напори за да се осигур</w:t>
      </w:r>
      <w:r>
        <w:rPr>
          <w:rFonts w:ascii="Times New Roman" w:hAnsi="Times New Roman"/>
          <w:color w:val="000000"/>
          <w:sz w:val="24"/>
          <w:szCs w:val="24"/>
        </w:rPr>
        <w:t>ат</w:t>
      </w:r>
      <w:r w:rsidRPr="009C5D97">
        <w:rPr>
          <w:rFonts w:ascii="Times New Roman" w:hAnsi="Times New Roman"/>
          <w:color w:val="000000"/>
          <w:sz w:val="24"/>
          <w:szCs w:val="24"/>
        </w:rPr>
        <w:t xml:space="preserve"> целосност и квалитет на податоците </w:t>
      </w:r>
      <w:r>
        <w:rPr>
          <w:rFonts w:ascii="Times New Roman" w:hAnsi="Times New Roman"/>
          <w:color w:val="000000"/>
          <w:sz w:val="24"/>
          <w:szCs w:val="24"/>
        </w:rPr>
        <w:t xml:space="preserve">што се </w:t>
      </w:r>
      <w:r w:rsidRPr="009C5D97">
        <w:rPr>
          <w:rFonts w:ascii="Times New Roman" w:hAnsi="Times New Roman"/>
          <w:color w:val="000000"/>
          <w:sz w:val="24"/>
          <w:szCs w:val="24"/>
        </w:rPr>
        <w:t>доставени за кварталните национални сметки.</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color w:val="242424"/>
          <w:sz w:val="24"/>
          <w:szCs w:val="24"/>
        </w:rPr>
        <w:t xml:space="preserve">Статистиката за трговија според фактурирана валута за 2022 година доставена </w:t>
      </w:r>
      <w:r>
        <w:rPr>
          <w:rFonts w:ascii="Times New Roman" w:hAnsi="Times New Roman"/>
          <w:color w:val="242424"/>
          <w:sz w:val="24"/>
          <w:szCs w:val="24"/>
        </w:rPr>
        <w:t xml:space="preserve">е </w:t>
      </w:r>
      <w:r w:rsidRPr="009C5D97">
        <w:rPr>
          <w:rFonts w:ascii="Times New Roman" w:hAnsi="Times New Roman"/>
          <w:color w:val="242424"/>
          <w:sz w:val="24"/>
          <w:szCs w:val="24"/>
        </w:rPr>
        <w:t>до Евростат во март 2023 година</w:t>
      </w:r>
      <w:r>
        <w:rPr>
          <w:rFonts w:ascii="Times New Roman" w:hAnsi="Times New Roman"/>
          <w:color w:val="242424"/>
          <w:sz w:val="24"/>
          <w:szCs w:val="24"/>
        </w:rPr>
        <w:t>,</w:t>
      </w:r>
      <w:r w:rsidRPr="009C5D97">
        <w:rPr>
          <w:rFonts w:ascii="Times New Roman" w:hAnsi="Times New Roman"/>
          <w:color w:val="242424"/>
          <w:sz w:val="24"/>
          <w:szCs w:val="24"/>
        </w:rPr>
        <w:t xml:space="preserve"> во согласност со најновите барања на Европската регулатива за деловна статистика. </w:t>
      </w:r>
      <w:r w:rsidRPr="009C5D97">
        <w:rPr>
          <w:rFonts w:ascii="Times New Roman" w:hAnsi="Times New Roman"/>
          <w:color w:val="000000"/>
          <w:sz w:val="24"/>
          <w:szCs w:val="24"/>
        </w:rPr>
        <w:t>Во октомври 2022 година ДЗС почна да ги компилира кварталните извештаи во алатката за постапување со метаподатоци на Европскиот статистички систем на Евростат. Таа</w:t>
      </w:r>
      <w:r>
        <w:rPr>
          <w:rFonts w:ascii="Times New Roman" w:hAnsi="Times New Roman"/>
          <w:color w:val="000000"/>
          <w:sz w:val="24"/>
          <w:szCs w:val="24"/>
        </w:rPr>
        <w:t>,</w:t>
      </w:r>
      <w:r w:rsidRPr="009C5D97">
        <w:rPr>
          <w:rFonts w:ascii="Times New Roman" w:hAnsi="Times New Roman"/>
          <w:color w:val="000000"/>
          <w:sz w:val="24"/>
          <w:szCs w:val="24"/>
        </w:rPr>
        <w:t xml:space="preserve"> исто така</w:t>
      </w:r>
      <w:r>
        <w:rPr>
          <w:rFonts w:ascii="Times New Roman" w:hAnsi="Times New Roman"/>
          <w:color w:val="000000"/>
          <w:sz w:val="24"/>
          <w:szCs w:val="24"/>
        </w:rPr>
        <w:t>,</w:t>
      </w:r>
      <w:r w:rsidRPr="009C5D97">
        <w:rPr>
          <w:rFonts w:ascii="Times New Roman" w:hAnsi="Times New Roman"/>
          <w:color w:val="000000"/>
          <w:sz w:val="24"/>
          <w:szCs w:val="24"/>
        </w:rPr>
        <w:t xml:space="preserve"> ги компилираше кварталните извештаи </w:t>
      </w:r>
      <w:r>
        <w:rPr>
          <w:rFonts w:ascii="Times New Roman" w:hAnsi="Times New Roman"/>
          <w:color w:val="000000"/>
          <w:sz w:val="24"/>
          <w:szCs w:val="24"/>
        </w:rPr>
        <w:t>со</w:t>
      </w:r>
      <w:r w:rsidRPr="009C5D97">
        <w:rPr>
          <w:rFonts w:ascii="Times New Roman" w:hAnsi="Times New Roman"/>
          <w:color w:val="000000"/>
          <w:sz w:val="24"/>
          <w:szCs w:val="24"/>
        </w:rPr>
        <w:t xml:space="preserve"> детални податоци за 2020 година и податоците за трговија според економските карактеристики на претпријатијата за 2019 година. </w:t>
      </w:r>
      <w:r w:rsidRPr="009C5D97">
        <w:rPr>
          <w:rFonts w:ascii="Times New Roman" w:hAnsi="Times New Roman"/>
          <w:color w:val="222222"/>
          <w:sz w:val="24"/>
          <w:szCs w:val="24"/>
        </w:rPr>
        <w:t xml:space="preserve">Податоците за трговија според економските карактеристики на претпријатијата од 2020 година се целосно усогласени со Методолошкото упатство статистика за трговија според економските карактеристики на претпријатијата. Во јануари 2023 година овие податоци </w:t>
      </w:r>
      <w:r>
        <w:rPr>
          <w:rFonts w:ascii="Times New Roman" w:hAnsi="Times New Roman"/>
          <w:color w:val="222222"/>
          <w:sz w:val="24"/>
          <w:szCs w:val="24"/>
        </w:rPr>
        <w:t xml:space="preserve">се </w:t>
      </w:r>
      <w:r w:rsidRPr="009C5D97">
        <w:rPr>
          <w:rFonts w:ascii="Times New Roman" w:hAnsi="Times New Roman"/>
          <w:color w:val="222222"/>
          <w:sz w:val="24"/>
          <w:szCs w:val="24"/>
        </w:rPr>
        <w:t>пренесени до Евростат во формат</w:t>
      </w:r>
      <w:r w:rsidRPr="00D3408E">
        <w:rPr>
          <w:rFonts w:ascii="Times New Roman" w:hAnsi="Times New Roman"/>
          <w:color w:val="222222"/>
          <w:sz w:val="24"/>
          <w:szCs w:val="24"/>
        </w:rPr>
        <w:t xml:space="preserve"> </w:t>
      </w:r>
      <w:r w:rsidRPr="009C5D97">
        <w:rPr>
          <w:rFonts w:ascii="Times New Roman" w:hAnsi="Times New Roman"/>
          <w:color w:val="222222"/>
          <w:sz w:val="24"/>
          <w:szCs w:val="24"/>
        </w:rPr>
        <w:t>SDMX.</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Централната банка продолжи да пренесува податоци за годишните финансиски сметки до Евростат (податочни серии 2013</w:t>
      </w:r>
      <w:r>
        <w:rPr>
          <w:rFonts w:ascii="Times New Roman" w:hAnsi="Times New Roman"/>
          <w:color w:val="000000"/>
          <w:sz w:val="24"/>
          <w:szCs w:val="24"/>
        </w:rPr>
        <w:t xml:space="preserve"> </w:t>
      </w:r>
      <w:r w:rsidRPr="009C5D97">
        <w:rPr>
          <w:rFonts w:ascii="Times New Roman" w:hAnsi="Times New Roman"/>
          <w:color w:val="000000"/>
          <w:sz w:val="24"/>
          <w:szCs w:val="24"/>
        </w:rPr>
        <w:t>-</w:t>
      </w:r>
      <w:r>
        <w:rPr>
          <w:rFonts w:ascii="Times New Roman" w:hAnsi="Times New Roman"/>
          <w:color w:val="000000"/>
          <w:sz w:val="24"/>
          <w:szCs w:val="24"/>
        </w:rPr>
        <w:t xml:space="preserve"> </w:t>
      </w:r>
      <w:r w:rsidRPr="009C5D97">
        <w:rPr>
          <w:rFonts w:ascii="Times New Roman" w:hAnsi="Times New Roman"/>
          <w:color w:val="000000"/>
          <w:sz w:val="24"/>
          <w:szCs w:val="24"/>
        </w:rPr>
        <w:t>2021, само неконсолидирани биланси на состојба) и да изготвува експериментални податоци за кварталните финансиски сметки (резерви и текови) и податоци за годишните текови по потсектор и финансиски инструмент. Таа изготви и дисеминира</w:t>
      </w:r>
      <w:r w:rsidR="00807BC2">
        <w:rPr>
          <w:rFonts w:ascii="Times New Roman" w:hAnsi="Times New Roman"/>
          <w:color w:val="000000"/>
          <w:sz w:val="24"/>
          <w:szCs w:val="24"/>
        </w:rPr>
        <w:t>ше</w:t>
      </w:r>
      <w:r w:rsidRPr="009C5D97">
        <w:rPr>
          <w:rFonts w:ascii="Times New Roman" w:hAnsi="Times New Roman"/>
          <w:color w:val="000000"/>
          <w:sz w:val="24"/>
          <w:szCs w:val="24"/>
        </w:rPr>
        <w:t xml:space="preserve"> податоци за надворешниот сектор во согласност со најновиот 6. Прирачник за биланс на плаќања (БПМ6).</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 xml:space="preserve">Постигнат е добар напредок во областа на </w:t>
      </w:r>
      <w:r w:rsidRPr="009C5D97">
        <w:rPr>
          <w:rFonts w:ascii="Times New Roman" w:hAnsi="Times New Roman"/>
          <w:b/>
          <w:bCs/>
          <w:color w:val="000000"/>
          <w:sz w:val="24"/>
          <w:szCs w:val="24"/>
        </w:rPr>
        <w:t>деловната статистика</w:t>
      </w:r>
      <w:r w:rsidRPr="009C5D97">
        <w:rPr>
          <w:rFonts w:ascii="Times New Roman" w:hAnsi="Times New Roman"/>
          <w:color w:val="000000"/>
          <w:sz w:val="24"/>
          <w:szCs w:val="24"/>
        </w:rPr>
        <w:t xml:space="preserve">. Во однос на статистиката за странски филијали, податоците за 2020 година беа објавени во декември 2022 година. Во јуни 2023 година ДЗС спроведе трето пилот-истражување за статистиката за меѓународна трговија со услуги со географска распределба. Работата на туристичките сателитски сметки (ТСС) </w:t>
      </w:r>
      <w:r>
        <w:rPr>
          <w:rFonts w:ascii="Times New Roman" w:hAnsi="Times New Roman"/>
          <w:color w:val="000000"/>
          <w:sz w:val="24"/>
          <w:szCs w:val="24"/>
        </w:rPr>
        <w:t xml:space="preserve">е </w:t>
      </w:r>
      <w:r w:rsidRPr="009C5D97">
        <w:rPr>
          <w:rFonts w:ascii="Times New Roman" w:hAnsi="Times New Roman"/>
          <w:color w:val="000000"/>
          <w:sz w:val="24"/>
          <w:szCs w:val="24"/>
        </w:rPr>
        <w:t xml:space="preserve">завршена. Во септември 2022 година </w:t>
      </w:r>
      <w:r w:rsidR="00807BC2">
        <w:rPr>
          <w:rFonts w:ascii="Times New Roman" w:hAnsi="Times New Roman"/>
          <w:color w:val="000000"/>
          <w:sz w:val="24"/>
          <w:szCs w:val="24"/>
        </w:rPr>
        <w:t>беа</w:t>
      </w:r>
      <w:r w:rsidRPr="009C5D97">
        <w:rPr>
          <w:rFonts w:ascii="Times New Roman" w:hAnsi="Times New Roman"/>
          <w:color w:val="000000"/>
          <w:sz w:val="24"/>
          <w:szCs w:val="24"/>
        </w:rPr>
        <w:t xml:space="preserve"> објавени првите податоци за ТСС за 2019 година и доставени до Евростат. Врз основа на барањата за Европската деловна статистика, </w:t>
      </w:r>
      <w:r w:rsidR="00807BC2">
        <w:rPr>
          <w:rFonts w:ascii="Times New Roman" w:hAnsi="Times New Roman"/>
          <w:color w:val="000000"/>
          <w:sz w:val="24"/>
          <w:szCs w:val="24"/>
        </w:rPr>
        <w:t xml:space="preserve">беше </w:t>
      </w:r>
      <w:r w:rsidRPr="009C5D97">
        <w:rPr>
          <w:rFonts w:ascii="Times New Roman" w:hAnsi="Times New Roman"/>
          <w:color w:val="000000"/>
          <w:sz w:val="24"/>
          <w:szCs w:val="24"/>
        </w:rPr>
        <w:t>подобр</w:t>
      </w:r>
      <w:r>
        <w:rPr>
          <w:rFonts w:ascii="Times New Roman" w:hAnsi="Times New Roman"/>
          <w:color w:val="000000"/>
          <w:sz w:val="24"/>
          <w:szCs w:val="24"/>
        </w:rPr>
        <w:t>ена</w:t>
      </w:r>
      <w:r w:rsidRPr="009C5D97">
        <w:rPr>
          <w:rFonts w:ascii="Times New Roman" w:hAnsi="Times New Roman"/>
          <w:color w:val="000000"/>
          <w:sz w:val="24"/>
          <w:szCs w:val="24"/>
        </w:rPr>
        <w:t xml:space="preserve"> методологијата за компилација на структурната деловна статистика (СДС)</w:t>
      </w:r>
      <w:r>
        <w:rPr>
          <w:rFonts w:ascii="Times New Roman" w:hAnsi="Times New Roman"/>
          <w:color w:val="000000"/>
          <w:sz w:val="24"/>
          <w:szCs w:val="24"/>
        </w:rPr>
        <w:t>,</w:t>
      </w:r>
      <w:r w:rsidRPr="009C5D97">
        <w:rPr>
          <w:rFonts w:ascii="Times New Roman" w:hAnsi="Times New Roman"/>
          <w:color w:val="000000"/>
          <w:sz w:val="24"/>
          <w:szCs w:val="24"/>
        </w:rPr>
        <w:t xml:space="preserve"> при што е прошир</w:t>
      </w:r>
      <w:r>
        <w:rPr>
          <w:rFonts w:ascii="Times New Roman" w:hAnsi="Times New Roman"/>
          <w:color w:val="000000"/>
          <w:sz w:val="24"/>
          <w:szCs w:val="24"/>
        </w:rPr>
        <w:t>ена</w:t>
      </w:r>
      <w:r w:rsidRPr="009C5D97">
        <w:rPr>
          <w:rFonts w:ascii="Times New Roman" w:hAnsi="Times New Roman"/>
          <w:color w:val="000000"/>
          <w:sz w:val="24"/>
          <w:szCs w:val="24"/>
        </w:rPr>
        <w:t xml:space="preserve"> опфатноста на активностите и рафинира</w:t>
      </w:r>
      <w:r>
        <w:rPr>
          <w:rFonts w:ascii="Times New Roman" w:hAnsi="Times New Roman"/>
          <w:color w:val="000000"/>
          <w:sz w:val="24"/>
          <w:szCs w:val="24"/>
        </w:rPr>
        <w:t>на е</w:t>
      </w:r>
      <w:r w:rsidRPr="009C5D97">
        <w:rPr>
          <w:rFonts w:ascii="Times New Roman" w:hAnsi="Times New Roman"/>
          <w:color w:val="000000"/>
          <w:sz w:val="24"/>
          <w:szCs w:val="24"/>
        </w:rPr>
        <w:t xml:space="preserve"> пресметката на променливите и техничкиот формат за пренос на податоци. </w:t>
      </w:r>
      <w:r>
        <w:rPr>
          <w:rFonts w:ascii="Times New Roman" w:hAnsi="Times New Roman"/>
          <w:color w:val="000000"/>
          <w:sz w:val="24"/>
          <w:szCs w:val="24"/>
        </w:rPr>
        <w:t>К</w:t>
      </w:r>
      <w:r w:rsidRPr="009C5D97">
        <w:rPr>
          <w:rFonts w:ascii="Times New Roman" w:hAnsi="Times New Roman"/>
          <w:color w:val="000000"/>
          <w:sz w:val="24"/>
          <w:szCs w:val="24"/>
        </w:rPr>
        <w:t xml:space="preserve">реиран </w:t>
      </w:r>
      <w:r>
        <w:rPr>
          <w:rFonts w:ascii="Times New Roman" w:hAnsi="Times New Roman"/>
          <w:color w:val="000000"/>
          <w:sz w:val="24"/>
          <w:szCs w:val="24"/>
        </w:rPr>
        <w:t xml:space="preserve">е </w:t>
      </w:r>
      <w:r w:rsidRPr="009C5D97">
        <w:rPr>
          <w:rFonts w:ascii="Times New Roman" w:hAnsi="Times New Roman"/>
          <w:color w:val="000000"/>
          <w:sz w:val="24"/>
          <w:szCs w:val="24"/>
        </w:rPr>
        <w:t>алгоритам за пресметка на основните променливи за компании</w:t>
      </w:r>
      <w:r>
        <w:rPr>
          <w:rFonts w:ascii="Times New Roman" w:hAnsi="Times New Roman"/>
          <w:color w:val="000000"/>
          <w:sz w:val="24"/>
          <w:szCs w:val="24"/>
        </w:rPr>
        <w:t>те</w:t>
      </w:r>
      <w:r w:rsidRPr="009C5D97">
        <w:rPr>
          <w:rFonts w:ascii="Times New Roman" w:hAnsi="Times New Roman"/>
          <w:color w:val="000000"/>
          <w:sz w:val="24"/>
          <w:szCs w:val="24"/>
        </w:rPr>
        <w:t xml:space="preserve"> што нудат финансиски услуги и во октомври 2022 година до Евростат б</w:t>
      </w:r>
      <w:r w:rsidR="00807BC2">
        <w:rPr>
          <w:rFonts w:ascii="Times New Roman" w:hAnsi="Times New Roman"/>
          <w:color w:val="000000"/>
          <w:sz w:val="24"/>
          <w:szCs w:val="24"/>
        </w:rPr>
        <w:t>еа</w:t>
      </w:r>
      <w:r w:rsidRPr="009C5D97">
        <w:rPr>
          <w:rFonts w:ascii="Times New Roman" w:hAnsi="Times New Roman"/>
          <w:color w:val="000000"/>
          <w:sz w:val="24"/>
          <w:szCs w:val="24"/>
        </w:rPr>
        <w:t xml:space="preserve"> пратени</w:t>
      </w:r>
      <w:r w:rsidRPr="00D3408E">
        <w:rPr>
          <w:rFonts w:ascii="Times New Roman" w:hAnsi="Times New Roman"/>
          <w:color w:val="000000"/>
          <w:sz w:val="24"/>
          <w:szCs w:val="24"/>
        </w:rPr>
        <w:t xml:space="preserve"> </w:t>
      </w:r>
      <w:r w:rsidRPr="009C5D97">
        <w:rPr>
          <w:rFonts w:ascii="Times New Roman" w:hAnsi="Times New Roman"/>
          <w:color w:val="000000"/>
          <w:sz w:val="24"/>
          <w:szCs w:val="24"/>
        </w:rPr>
        <w:t xml:space="preserve">прелиминарните податоци за 2021 година. Во март 2023 година објавени </w:t>
      </w:r>
      <w:r>
        <w:rPr>
          <w:rFonts w:ascii="Times New Roman" w:hAnsi="Times New Roman"/>
          <w:color w:val="000000"/>
          <w:sz w:val="24"/>
          <w:szCs w:val="24"/>
        </w:rPr>
        <w:t xml:space="preserve">се </w:t>
      </w:r>
      <w:r w:rsidRPr="009C5D97">
        <w:rPr>
          <w:rFonts w:ascii="Times New Roman" w:hAnsi="Times New Roman"/>
          <w:color w:val="000000"/>
          <w:sz w:val="24"/>
          <w:szCs w:val="24"/>
        </w:rPr>
        <w:t>конечните деловни податоци за 2022 година. Во тек е работата за воспоставување статистичка единица за „сложени претпријатија“. Во однос на деловната демографија, во јуни 2022 година ДЗС му обезбеди на Евростат комплетен сет на податоци за 2020 година како што е наложено со регулативата.</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 xml:space="preserve">Постигнат е добар напредок во однос на </w:t>
      </w:r>
      <w:r w:rsidRPr="009C5D97">
        <w:rPr>
          <w:rFonts w:ascii="Times New Roman" w:hAnsi="Times New Roman"/>
          <w:b/>
          <w:bCs/>
          <w:color w:val="000000"/>
          <w:sz w:val="24"/>
          <w:szCs w:val="24"/>
        </w:rPr>
        <w:t>социјалната статистика</w:t>
      </w:r>
      <w:r w:rsidRPr="009C5D97">
        <w:rPr>
          <w:rFonts w:ascii="Times New Roman" w:hAnsi="Times New Roman"/>
          <w:color w:val="000000"/>
          <w:sz w:val="24"/>
          <w:szCs w:val="24"/>
        </w:rPr>
        <w:t xml:space="preserve">. ДЗС ги објави податоците од </w:t>
      </w:r>
      <w:r>
        <w:rPr>
          <w:rFonts w:ascii="Times New Roman" w:hAnsi="Times New Roman"/>
          <w:color w:val="000000"/>
          <w:sz w:val="24"/>
          <w:szCs w:val="24"/>
        </w:rPr>
        <w:t>П</w:t>
      </w:r>
      <w:r w:rsidRPr="009C5D97">
        <w:rPr>
          <w:rFonts w:ascii="Times New Roman" w:hAnsi="Times New Roman"/>
          <w:color w:val="000000"/>
          <w:sz w:val="24"/>
          <w:szCs w:val="24"/>
        </w:rPr>
        <w:t xml:space="preserve">описот на населението </w:t>
      </w:r>
      <w:r>
        <w:rPr>
          <w:rFonts w:ascii="Times New Roman" w:hAnsi="Times New Roman"/>
          <w:color w:val="000000"/>
          <w:sz w:val="24"/>
          <w:szCs w:val="24"/>
        </w:rPr>
        <w:t xml:space="preserve">спроведен </w:t>
      </w:r>
      <w:r w:rsidRPr="009C5D97">
        <w:rPr>
          <w:rFonts w:ascii="Times New Roman" w:hAnsi="Times New Roman"/>
          <w:color w:val="000000"/>
          <w:sz w:val="24"/>
          <w:szCs w:val="24"/>
        </w:rPr>
        <w:t>во 2021 година. Врз основа на податоците од пописот, во јуни 2023 година ДЗС изготви</w:t>
      </w:r>
      <w:r>
        <w:rPr>
          <w:rFonts w:ascii="Times New Roman" w:hAnsi="Times New Roman"/>
          <w:color w:val="000000"/>
          <w:sz w:val="24"/>
          <w:szCs w:val="24"/>
        </w:rPr>
        <w:t>л</w:t>
      </w:r>
      <w:r w:rsidRPr="009C5D97">
        <w:rPr>
          <w:rFonts w:ascii="Times New Roman" w:hAnsi="Times New Roman"/>
          <w:color w:val="000000"/>
          <w:sz w:val="24"/>
          <w:szCs w:val="24"/>
        </w:rPr>
        <w:t xml:space="preserve"> нова временска серија на податоците за населението на национално ниво. Доставувањето на резултатите од истражувањето за приход</w:t>
      </w:r>
      <w:r>
        <w:rPr>
          <w:rFonts w:ascii="Times New Roman" w:hAnsi="Times New Roman"/>
          <w:color w:val="000000"/>
          <w:sz w:val="24"/>
          <w:szCs w:val="24"/>
        </w:rPr>
        <w:t>ите</w:t>
      </w:r>
      <w:r w:rsidRPr="009C5D97">
        <w:rPr>
          <w:rFonts w:ascii="Times New Roman" w:hAnsi="Times New Roman"/>
          <w:color w:val="000000"/>
          <w:sz w:val="24"/>
          <w:szCs w:val="24"/>
        </w:rPr>
        <w:t xml:space="preserve"> и условите за живот</w:t>
      </w:r>
      <w:r w:rsidRPr="009C5D97">
        <w:rPr>
          <w:rFonts w:ascii="Times New Roman" w:hAnsi="Times New Roman"/>
          <w:sz w:val="24"/>
          <w:szCs w:val="24"/>
        </w:rPr>
        <w:t xml:space="preserve"> </w:t>
      </w:r>
      <w:r>
        <w:rPr>
          <w:rFonts w:ascii="Times New Roman" w:hAnsi="Times New Roman"/>
          <w:color w:val="000000"/>
          <w:sz w:val="24"/>
          <w:szCs w:val="24"/>
        </w:rPr>
        <w:t xml:space="preserve">е </w:t>
      </w:r>
      <w:r w:rsidRPr="009C5D97">
        <w:rPr>
          <w:rFonts w:ascii="Times New Roman" w:hAnsi="Times New Roman"/>
          <w:color w:val="000000"/>
          <w:sz w:val="24"/>
          <w:szCs w:val="24"/>
        </w:rPr>
        <w:t>одложено поради недост</w:t>
      </w:r>
      <w:r>
        <w:rPr>
          <w:rFonts w:ascii="Times New Roman" w:hAnsi="Times New Roman"/>
          <w:color w:val="000000"/>
          <w:sz w:val="24"/>
          <w:szCs w:val="24"/>
        </w:rPr>
        <w:t>игот на</w:t>
      </w:r>
      <w:r w:rsidRPr="009C5D97">
        <w:rPr>
          <w:rFonts w:ascii="Times New Roman" w:hAnsi="Times New Roman"/>
          <w:color w:val="000000"/>
          <w:sz w:val="24"/>
          <w:szCs w:val="24"/>
        </w:rPr>
        <w:t xml:space="preserve"> персонал. ДЗС почна да </w:t>
      </w:r>
      <w:r>
        <w:rPr>
          <w:rFonts w:ascii="Times New Roman" w:hAnsi="Times New Roman"/>
          <w:color w:val="000000"/>
          <w:sz w:val="24"/>
          <w:szCs w:val="24"/>
        </w:rPr>
        <w:t xml:space="preserve">ги </w:t>
      </w:r>
      <w:r w:rsidRPr="009C5D97">
        <w:rPr>
          <w:rFonts w:ascii="Times New Roman" w:hAnsi="Times New Roman"/>
          <w:color w:val="000000"/>
          <w:sz w:val="24"/>
          <w:szCs w:val="24"/>
        </w:rPr>
        <w:t>користи административни</w:t>
      </w:r>
      <w:r>
        <w:rPr>
          <w:rFonts w:ascii="Times New Roman" w:hAnsi="Times New Roman"/>
          <w:color w:val="000000"/>
          <w:sz w:val="24"/>
          <w:szCs w:val="24"/>
        </w:rPr>
        <w:t>те</w:t>
      </w:r>
      <w:r w:rsidRPr="009C5D97">
        <w:rPr>
          <w:rFonts w:ascii="Times New Roman" w:hAnsi="Times New Roman"/>
          <w:color w:val="000000"/>
          <w:sz w:val="24"/>
          <w:szCs w:val="24"/>
        </w:rPr>
        <w:t xml:space="preserve"> регистри за статистиката во областа на образованието. Некои статистички податоци за </w:t>
      </w:r>
      <w:r>
        <w:rPr>
          <w:rFonts w:ascii="Times New Roman" w:hAnsi="Times New Roman"/>
          <w:color w:val="000000"/>
          <w:sz w:val="24"/>
          <w:szCs w:val="24"/>
        </w:rPr>
        <w:t xml:space="preserve">периодот </w:t>
      </w:r>
      <w:r w:rsidRPr="009C5D97">
        <w:rPr>
          <w:rFonts w:ascii="Times New Roman" w:hAnsi="Times New Roman"/>
          <w:color w:val="000000"/>
          <w:sz w:val="24"/>
          <w:szCs w:val="24"/>
        </w:rPr>
        <w:t>2018</w:t>
      </w:r>
      <w:r>
        <w:rPr>
          <w:rFonts w:ascii="Times New Roman" w:hAnsi="Times New Roman"/>
          <w:color w:val="000000"/>
          <w:sz w:val="24"/>
          <w:szCs w:val="24"/>
        </w:rPr>
        <w:t xml:space="preserve"> </w:t>
      </w:r>
      <w:r w:rsidRPr="009C5D97">
        <w:rPr>
          <w:rFonts w:ascii="Times New Roman" w:hAnsi="Times New Roman"/>
          <w:color w:val="000000"/>
          <w:sz w:val="24"/>
          <w:szCs w:val="24"/>
        </w:rPr>
        <w:t>-</w:t>
      </w:r>
      <w:r>
        <w:rPr>
          <w:rFonts w:ascii="Times New Roman" w:hAnsi="Times New Roman"/>
          <w:color w:val="000000"/>
          <w:sz w:val="24"/>
          <w:szCs w:val="24"/>
        </w:rPr>
        <w:t xml:space="preserve"> </w:t>
      </w:r>
      <w:r w:rsidRPr="009C5D97">
        <w:rPr>
          <w:rFonts w:ascii="Times New Roman" w:hAnsi="Times New Roman"/>
          <w:color w:val="000000"/>
          <w:sz w:val="24"/>
          <w:szCs w:val="24"/>
        </w:rPr>
        <w:t xml:space="preserve">2021 </w:t>
      </w:r>
      <w:r>
        <w:rPr>
          <w:rFonts w:ascii="Times New Roman" w:hAnsi="Times New Roman"/>
          <w:color w:val="000000"/>
          <w:sz w:val="24"/>
          <w:szCs w:val="24"/>
        </w:rPr>
        <w:t xml:space="preserve">година </w:t>
      </w:r>
      <w:r w:rsidRPr="009C5D97">
        <w:rPr>
          <w:rFonts w:ascii="Times New Roman" w:hAnsi="Times New Roman"/>
          <w:color w:val="000000"/>
          <w:sz w:val="24"/>
          <w:szCs w:val="24"/>
        </w:rPr>
        <w:t xml:space="preserve">беа доставени до Евростат во август 2023 година. Во летото 2022 година ДЗС спроведе истражување за родово базирано насилство. Резултатите </w:t>
      </w:r>
      <w:r>
        <w:rPr>
          <w:rFonts w:ascii="Times New Roman" w:hAnsi="Times New Roman"/>
          <w:color w:val="000000"/>
          <w:sz w:val="24"/>
          <w:szCs w:val="24"/>
        </w:rPr>
        <w:t>се</w:t>
      </w:r>
      <w:r w:rsidRPr="009C5D97">
        <w:rPr>
          <w:rFonts w:ascii="Times New Roman" w:hAnsi="Times New Roman"/>
          <w:color w:val="000000"/>
          <w:sz w:val="24"/>
          <w:szCs w:val="24"/>
        </w:rPr>
        <w:t xml:space="preserve"> доставени до Евростат, но недостасуваат</w:t>
      </w:r>
      <w:r w:rsidRPr="00C06969">
        <w:rPr>
          <w:rFonts w:ascii="Times New Roman" w:hAnsi="Times New Roman"/>
          <w:color w:val="000000"/>
          <w:sz w:val="24"/>
          <w:szCs w:val="24"/>
        </w:rPr>
        <w:t xml:space="preserve"> </w:t>
      </w:r>
      <w:r w:rsidRPr="009C5D97">
        <w:rPr>
          <w:rFonts w:ascii="Times New Roman" w:hAnsi="Times New Roman"/>
          <w:color w:val="000000"/>
          <w:sz w:val="24"/>
          <w:szCs w:val="24"/>
        </w:rPr>
        <w:t>метаподатоците, а податоците не се дисеминирани. Микроподатоците од истражувањето за работната сила и податоците од истражувањето од 2020 година за трошоците за работна сила не б</w:t>
      </w:r>
      <w:r>
        <w:rPr>
          <w:rFonts w:ascii="Times New Roman" w:hAnsi="Times New Roman"/>
          <w:color w:val="000000"/>
          <w:sz w:val="24"/>
          <w:szCs w:val="24"/>
        </w:rPr>
        <w:t>иле</w:t>
      </w:r>
      <w:r w:rsidRPr="009C5D97">
        <w:rPr>
          <w:rFonts w:ascii="Times New Roman" w:hAnsi="Times New Roman"/>
          <w:color w:val="000000"/>
          <w:sz w:val="24"/>
          <w:szCs w:val="24"/>
        </w:rPr>
        <w:t xml:space="preserve"> доставени до Евростат во текот на периодот на известување.</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 xml:space="preserve">Забележан е добар напредок за </w:t>
      </w:r>
      <w:r w:rsidRPr="009C5D97">
        <w:rPr>
          <w:rFonts w:ascii="Times New Roman" w:hAnsi="Times New Roman"/>
          <w:b/>
          <w:bCs/>
          <w:color w:val="000000"/>
          <w:sz w:val="24"/>
          <w:szCs w:val="24"/>
        </w:rPr>
        <w:t>земјоделската статистика</w:t>
      </w:r>
      <w:r w:rsidRPr="009C5D97">
        <w:rPr>
          <w:rFonts w:ascii="Times New Roman" w:hAnsi="Times New Roman"/>
          <w:color w:val="000000"/>
          <w:sz w:val="24"/>
          <w:szCs w:val="24"/>
        </w:rPr>
        <w:t>.</w:t>
      </w:r>
      <w:r w:rsidRPr="009C5D97">
        <w:rPr>
          <w:rFonts w:ascii="Times New Roman" w:hAnsi="Times New Roman"/>
          <w:b/>
          <w:bCs/>
          <w:color w:val="000000"/>
          <w:sz w:val="24"/>
          <w:szCs w:val="24"/>
        </w:rPr>
        <w:t xml:space="preserve"> </w:t>
      </w:r>
      <w:r w:rsidRPr="009C5D97">
        <w:rPr>
          <w:rFonts w:ascii="Times New Roman" w:hAnsi="Times New Roman"/>
          <w:color w:val="000000"/>
          <w:sz w:val="24"/>
          <w:szCs w:val="24"/>
        </w:rPr>
        <w:t>Во јуни 2020 година ДЗС спроведе пилот</w:t>
      </w:r>
      <w:r>
        <w:rPr>
          <w:rFonts w:ascii="Times New Roman" w:hAnsi="Times New Roman"/>
          <w:color w:val="000000"/>
          <w:sz w:val="24"/>
          <w:szCs w:val="24"/>
        </w:rPr>
        <w:t>–</w:t>
      </w:r>
      <w:r w:rsidRPr="009C5D97">
        <w:rPr>
          <w:rFonts w:ascii="Times New Roman" w:hAnsi="Times New Roman"/>
          <w:color w:val="000000"/>
          <w:sz w:val="24"/>
          <w:szCs w:val="24"/>
        </w:rPr>
        <w:t xml:space="preserve">попис на земјоделството. Подготовките за главниот попис на земјоделството во 2024 година треба да се забрзаат, вклучително и законодавната и буџетската рамка. Податоците за статистиката во областа на рибарството </w:t>
      </w:r>
      <w:r>
        <w:rPr>
          <w:rFonts w:ascii="Times New Roman" w:hAnsi="Times New Roman"/>
          <w:color w:val="000000"/>
          <w:sz w:val="24"/>
          <w:szCs w:val="24"/>
        </w:rPr>
        <w:t>се</w:t>
      </w:r>
      <w:r w:rsidRPr="009C5D97">
        <w:rPr>
          <w:rFonts w:ascii="Times New Roman" w:hAnsi="Times New Roman"/>
          <w:color w:val="000000"/>
          <w:sz w:val="24"/>
          <w:szCs w:val="24"/>
        </w:rPr>
        <w:t xml:space="preserve"> усогласени со стандардите на ЕУ, објавени од ДЗС и доставени до Евростат во декември 2022 година. Во однос на статистиката од областа на шумарството, ДЗС ги оцени изворите на податоци </w:t>
      </w:r>
      <w:r w:rsidRPr="00382B0A">
        <w:rPr>
          <w:rFonts w:ascii="Times New Roman" w:hAnsi="Times New Roman"/>
          <w:color w:val="000000"/>
          <w:sz w:val="24"/>
          <w:szCs w:val="24"/>
        </w:rPr>
        <w:t>за компилација на сметките</w:t>
      </w:r>
      <w:r w:rsidRPr="009C5D97">
        <w:rPr>
          <w:rFonts w:ascii="Times New Roman" w:hAnsi="Times New Roman"/>
          <w:color w:val="000000"/>
          <w:sz w:val="24"/>
          <w:szCs w:val="24"/>
        </w:rPr>
        <w:t xml:space="preserve"> за шумарство.</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 xml:space="preserve">Во однос на </w:t>
      </w:r>
      <w:r w:rsidRPr="00721A72">
        <w:rPr>
          <w:rFonts w:ascii="Times New Roman" w:hAnsi="Times New Roman"/>
          <w:b/>
          <w:color w:val="000000"/>
          <w:sz w:val="24"/>
          <w:szCs w:val="24"/>
        </w:rPr>
        <w:t>статистиката за енергетика и животна средина</w:t>
      </w:r>
      <w:r w:rsidRPr="009C5D97">
        <w:rPr>
          <w:rFonts w:ascii="Times New Roman" w:hAnsi="Times New Roman"/>
          <w:color w:val="000000"/>
          <w:sz w:val="24"/>
          <w:szCs w:val="24"/>
        </w:rPr>
        <w:t xml:space="preserve">, во мај 2023 година </w:t>
      </w:r>
      <w:r w:rsidRPr="00382B0A">
        <w:rPr>
          <w:rFonts w:ascii="Times New Roman" w:hAnsi="Times New Roman"/>
          <w:color w:val="000000"/>
          <w:sz w:val="24"/>
          <w:szCs w:val="24"/>
        </w:rPr>
        <w:t>монетарните сметки за животната средина беа компилирани за главните даночни категории, како и за расходите за заштита на животната</w:t>
      </w:r>
      <w:r w:rsidRPr="009C5D97">
        <w:rPr>
          <w:rFonts w:ascii="Times New Roman" w:hAnsi="Times New Roman"/>
          <w:color w:val="000000"/>
          <w:sz w:val="24"/>
          <w:szCs w:val="24"/>
        </w:rPr>
        <w:t xml:space="preserve"> средина. </w:t>
      </w:r>
      <w:r>
        <w:rPr>
          <w:rFonts w:ascii="Times New Roman" w:hAnsi="Times New Roman"/>
          <w:color w:val="000000"/>
          <w:sz w:val="24"/>
          <w:szCs w:val="24"/>
        </w:rPr>
        <w:t>Проширен е о</w:t>
      </w:r>
      <w:r w:rsidRPr="009C5D97">
        <w:rPr>
          <w:rFonts w:ascii="Times New Roman" w:hAnsi="Times New Roman"/>
          <w:color w:val="000000"/>
          <w:sz w:val="24"/>
          <w:szCs w:val="24"/>
        </w:rPr>
        <w:t xml:space="preserve">псегот </w:t>
      </w:r>
      <w:r w:rsidRPr="00382B0A">
        <w:rPr>
          <w:rFonts w:ascii="Times New Roman" w:hAnsi="Times New Roman"/>
          <w:color w:val="000000"/>
          <w:sz w:val="24"/>
          <w:szCs w:val="24"/>
        </w:rPr>
        <w:t>на</w:t>
      </w:r>
      <w:r w:rsidRPr="009C5D97">
        <w:rPr>
          <w:rFonts w:ascii="Times New Roman" w:hAnsi="Times New Roman"/>
          <w:color w:val="000000"/>
          <w:sz w:val="24"/>
          <w:szCs w:val="24"/>
        </w:rPr>
        <w:t xml:space="preserve"> секторските сметки за стоки и услуги за животната средина. Понатаму, сметките за физичкиот проток на енергија беа компилирани за секоја референтна година </w:t>
      </w:r>
      <w:r>
        <w:rPr>
          <w:rFonts w:ascii="Times New Roman" w:hAnsi="Times New Roman"/>
          <w:color w:val="000000"/>
          <w:sz w:val="24"/>
          <w:szCs w:val="24"/>
        </w:rPr>
        <w:t>од</w:t>
      </w:r>
      <w:r w:rsidRPr="009C5D97">
        <w:rPr>
          <w:rFonts w:ascii="Times New Roman" w:hAnsi="Times New Roman"/>
          <w:color w:val="000000"/>
          <w:sz w:val="24"/>
          <w:szCs w:val="24"/>
        </w:rPr>
        <w:t xml:space="preserve"> 2018 </w:t>
      </w:r>
      <w:r>
        <w:rPr>
          <w:rFonts w:ascii="Times New Roman" w:hAnsi="Times New Roman"/>
          <w:color w:val="000000"/>
          <w:sz w:val="24"/>
          <w:szCs w:val="24"/>
        </w:rPr>
        <w:t>до</w:t>
      </w:r>
      <w:r w:rsidRPr="009C5D97">
        <w:rPr>
          <w:rFonts w:ascii="Times New Roman" w:hAnsi="Times New Roman"/>
          <w:color w:val="000000"/>
          <w:sz w:val="24"/>
          <w:szCs w:val="24"/>
        </w:rPr>
        <w:t xml:space="preserve"> 2020 година со примена на „PEFA builder“. Исто така</w:t>
      </w:r>
      <w:r>
        <w:rPr>
          <w:rFonts w:ascii="Times New Roman" w:hAnsi="Times New Roman"/>
          <w:color w:val="000000"/>
          <w:sz w:val="24"/>
          <w:szCs w:val="24"/>
        </w:rPr>
        <w:t>,</w:t>
      </w:r>
      <w:r w:rsidRPr="009C5D97">
        <w:rPr>
          <w:rFonts w:ascii="Times New Roman" w:hAnsi="Times New Roman"/>
          <w:color w:val="000000"/>
          <w:sz w:val="24"/>
          <w:szCs w:val="24"/>
        </w:rPr>
        <w:t xml:space="preserve"> до Евростат редовно се доставуваа податоци за сметки за проток на материјали, иако сè уште не се вклучени билансите за проток на материјали. Податоците за инклузивноста на билансите за енергетика се зголем</w:t>
      </w:r>
      <w:r>
        <w:rPr>
          <w:rFonts w:ascii="Times New Roman" w:hAnsi="Times New Roman"/>
          <w:color w:val="000000"/>
          <w:sz w:val="24"/>
          <w:szCs w:val="24"/>
        </w:rPr>
        <w:t>ени</w:t>
      </w:r>
      <w:r w:rsidRPr="009C5D97">
        <w:rPr>
          <w:rFonts w:ascii="Times New Roman" w:hAnsi="Times New Roman"/>
          <w:color w:val="000000"/>
          <w:sz w:val="24"/>
          <w:szCs w:val="24"/>
        </w:rPr>
        <w:t xml:space="preserve"> благодарение на вклучувањето на соларната топлинска енергија. Прибирањето податоци за статистиката за енергетика се подобри благодарение не редизајнот и намалувањето на бројот </w:t>
      </w:r>
      <w:r>
        <w:rPr>
          <w:rFonts w:ascii="Times New Roman" w:hAnsi="Times New Roman"/>
          <w:color w:val="000000"/>
          <w:sz w:val="24"/>
          <w:szCs w:val="24"/>
        </w:rPr>
        <w:t xml:space="preserve">на </w:t>
      </w:r>
      <w:r w:rsidRPr="009C5D97">
        <w:rPr>
          <w:rFonts w:ascii="Times New Roman" w:hAnsi="Times New Roman"/>
          <w:color w:val="000000"/>
          <w:sz w:val="24"/>
          <w:szCs w:val="24"/>
        </w:rPr>
        <w:t>статистички истражувања за прибирање податоци.</w:t>
      </w:r>
    </w:p>
    <w:p w:rsidR="009768C4" w:rsidRPr="009C5D97" w:rsidRDefault="009768C4" w:rsidP="00A661C4">
      <w:pPr>
        <w:pStyle w:val="Heading2"/>
      </w:pPr>
      <w:bookmarkStart w:id="40" w:name="bookmark31"/>
      <w:bookmarkStart w:id="41" w:name="_Toc150864257"/>
      <w:r w:rsidRPr="009C5D97">
        <w:t>П</w:t>
      </w:r>
      <w:bookmarkEnd w:id="40"/>
      <w:r w:rsidRPr="009C5D97">
        <w:t>оглавје 32: Финансиска контрола</w:t>
      </w:r>
      <w:bookmarkEnd w:id="41"/>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i/>
          <w:iCs/>
          <w:color w:val="000000"/>
          <w:sz w:val="24"/>
          <w:szCs w:val="24"/>
        </w:rPr>
        <w:t xml:space="preserve">ЕУ ја промовира реформата на националните системи за управување, со цел да се подобрат раководната </w:t>
      </w:r>
      <w:r>
        <w:rPr>
          <w:rFonts w:ascii="Times New Roman" w:hAnsi="Times New Roman"/>
          <w:i/>
          <w:iCs/>
          <w:color w:val="000000"/>
          <w:sz w:val="24"/>
          <w:szCs w:val="24"/>
        </w:rPr>
        <w:t>отчетност</w:t>
      </w:r>
      <w:r w:rsidRPr="009C5D97">
        <w:rPr>
          <w:rFonts w:ascii="Times New Roman" w:hAnsi="Times New Roman"/>
          <w:i/>
          <w:iCs/>
          <w:color w:val="000000"/>
          <w:sz w:val="24"/>
          <w:szCs w:val="24"/>
        </w:rPr>
        <w:t>, стабилното финансиско управување со приходите и расходите и надворешната ревизија на јавните финансии. Правилата за финансиска контрола дополнително ги штитат финансиските интереси на ЕУ од измами во управување</w:t>
      </w:r>
      <w:r>
        <w:rPr>
          <w:rFonts w:ascii="Times New Roman" w:hAnsi="Times New Roman"/>
          <w:i/>
          <w:iCs/>
          <w:color w:val="000000"/>
          <w:sz w:val="24"/>
          <w:szCs w:val="24"/>
        </w:rPr>
        <w:t>то</w:t>
      </w:r>
      <w:r w:rsidRPr="009C5D97">
        <w:rPr>
          <w:rFonts w:ascii="Times New Roman" w:hAnsi="Times New Roman"/>
          <w:i/>
          <w:iCs/>
          <w:color w:val="000000"/>
          <w:sz w:val="24"/>
          <w:szCs w:val="24"/>
        </w:rPr>
        <w:t xml:space="preserve"> со фондовите на ЕУ и од фалсификување на еврото.</w:t>
      </w:r>
    </w:p>
    <w:p w:rsidR="009768C4" w:rsidRPr="009C5D97"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 xml:space="preserve">Земјата е </w:t>
      </w:r>
      <w:r w:rsidRPr="009C5D97">
        <w:rPr>
          <w:rFonts w:ascii="Times New Roman" w:hAnsi="Times New Roman"/>
          <w:b/>
          <w:bCs/>
          <w:color w:val="000000"/>
          <w:sz w:val="24"/>
          <w:szCs w:val="24"/>
        </w:rPr>
        <w:t>умерено подготвена</w:t>
      </w:r>
      <w:r w:rsidRPr="009C5D97">
        <w:rPr>
          <w:rFonts w:ascii="Times New Roman" w:hAnsi="Times New Roman"/>
          <w:color w:val="000000"/>
          <w:sz w:val="24"/>
          <w:szCs w:val="24"/>
        </w:rPr>
        <w:t xml:space="preserve"> во областа на финансиската контрола. </w:t>
      </w:r>
      <w:r w:rsidRPr="00382B0A">
        <w:rPr>
          <w:rFonts w:ascii="Times New Roman" w:hAnsi="Times New Roman"/>
          <w:b/>
          <w:bCs/>
          <w:color w:val="000000"/>
          <w:sz w:val="24"/>
          <w:szCs w:val="24"/>
        </w:rPr>
        <w:t xml:space="preserve">Одредениот напредок </w:t>
      </w:r>
      <w:r w:rsidRPr="00382B0A">
        <w:rPr>
          <w:rFonts w:ascii="Times New Roman" w:hAnsi="Times New Roman"/>
          <w:color w:val="000000"/>
          <w:sz w:val="24"/>
          <w:szCs w:val="24"/>
        </w:rPr>
        <w:t>го вклучува</w:t>
      </w:r>
      <w:r w:rsidRPr="009C5D97">
        <w:rPr>
          <w:rFonts w:ascii="Times New Roman" w:hAnsi="Times New Roman"/>
          <w:color w:val="000000"/>
          <w:sz w:val="24"/>
          <w:szCs w:val="24"/>
        </w:rPr>
        <w:t xml:space="preserve"> воспоставувањето на Мрежата за координација на борба против измама, донесувањето на Законот за буџетите и Законот за инспекциски надзор и потпишувањето на </w:t>
      </w:r>
      <w:r>
        <w:rPr>
          <w:rFonts w:ascii="Times New Roman" w:hAnsi="Times New Roman"/>
          <w:color w:val="000000"/>
          <w:sz w:val="24"/>
          <w:szCs w:val="24"/>
        </w:rPr>
        <w:t>М</w:t>
      </w:r>
      <w:r w:rsidRPr="009C5D97">
        <w:rPr>
          <w:rFonts w:ascii="Times New Roman" w:hAnsi="Times New Roman"/>
          <w:color w:val="000000"/>
          <w:sz w:val="24"/>
          <w:szCs w:val="24"/>
        </w:rPr>
        <w:t xml:space="preserve">еморандумот за разбирање </w:t>
      </w:r>
      <w:r>
        <w:rPr>
          <w:rFonts w:ascii="Times New Roman" w:hAnsi="Times New Roman"/>
          <w:color w:val="000000"/>
          <w:sz w:val="24"/>
          <w:szCs w:val="24"/>
        </w:rPr>
        <w:t>по</w:t>
      </w:r>
      <w:r w:rsidRPr="009C5D97">
        <w:rPr>
          <w:rFonts w:ascii="Times New Roman" w:hAnsi="Times New Roman"/>
          <w:color w:val="000000"/>
          <w:sz w:val="24"/>
          <w:szCs w:val="24"/>
        </w:rPr>
        <w:t>меѓу Собранието и Државниот завод за ревизија за да се зајакне последователно</w:t>
      </w:r>
      <w:r>
        <w:rPr>
          <w:rFonts w:ascii="Times New Roman" w:hAnsi="Times New Roman"/>
          <w:color w:val="000000"/>
          <w:sz w:val="24"/>
          <w:szCs w:val="24"/>
        </w:rPr>
        <w:t>то</w:t>
      </w:r>
      <w:r w:rsidRPr="009C5D97">
        <w:rPr>
          <w:rFonts w:ascii="Times New Roman" w:hAnsi="Times New Roman"/>
          <w:color w:val="000000"/>
          <w:sz w:val="24"/>
          <w:szCs w:val="24"/>
        </w:rPr>
        <w:t xml:space="preserve"> следење на одделни ревизорски извештаи. Во однос на внатрешната контрола и раководната одговорност, донесувањето на Законот за јавна внатрешна финансиска контрола (ЈВФК) се одложи за повеќе од две години. Ефикасноста на финансиската инспекција треба да се зајакне. Независноста на Државниот завод за ревизија сè уште не е гарантирана со Уставот. Ефикасноста на собранискиот надзор врз јавните финансии и последователното следење на препораките од ревизијата треба да се подобрат.</w:t>
      </w:r>
    </w:p>
    <w:p w:rsidR="009768C4" w:rsidRPr="009C5D97"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 xml:space="preserve">Бидејќи минатогодишните препораки само делумно </w:t>
      </w:r>
      <w:r>
        <w:rPr>
          <w:rFonts w:ascii="Times New Roman" w:hAnsi="Times New Roman"/>
          <w:color w:val="000000"/>
          <w:sz w:val="24"/>
          <w:szCs w:val="24"/>
        </w:rPr>
        <w:t>се спроведени</w:t>
      </w:r>
      <w:r w:rsidRPr="009C5D97">
        <w:rPr>
          <w:rFonts w:ascii="Times New Roman" w:hAnsi="Times New Roman"/>
          <w:color w:val="000000"/>
          <w:sz w:val="24"/>
          <w:szCs w:val="24"/>
        </w:rPr>
        <w:t xml:space="preserve">, </w:t>
      </w:r>
      <w:r>
        <w:rPr>
          <w:rFonts w:ascii="Times New Roman" w:hAnsi="Times New Roman"/>
          <w:color w:val="000000"/>
          <w:sz w:val="24"/>
          <w:szCs w:val="24"/>
        </w:rPr>
        <w:t>истите</w:t>
      </w:r>
      <w:r w:rsidRPr="009C5D97">
        <w:rPr>
          <w:rFonts w:ascii="Times New Roman" w:hAnsi="Times New Roman"/>
          <w:color w:val="000000"/>
          <w:sz w:val="24"/>
          <w:szCs w:val="24"/>
        </w:rPr>
        <w:t xml:space="preserve"> и понатаму важат. Во текот на наредната година земјата особено треба:</w:t>
      </w:r>
    </w:p>
    <w:p w:rsidR="009768C4" w:rsidRPr="009C5D97"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w:t>
      </w:r>
      <w:r w:rsidRPr="009C5D97">
        <w:rPr>
          <w:rFonts w:ascii="Times New Roman" w:hAnsi="Times New Roman"/>
          <w:color w:val="000000"/>
          <w:sz w:val="24"/>
          <w:szCs w:val="24"/>
        </w:rPr>
        <w:tab/>
        <w:t xml:space="preserve">да донесе нов закон за ЈВФК и поврзани методолошки алатки и да започне со нивно спроведување за да се подобрат транспарентноста, раководната </w:t>
      </w:r>
      <w:r>
        <w:rPr>
          <w:rFonts w:ascii="Times New Roman" w:hAnsi="Times New Roman"/>
          <w:color w:val="000000"/>
          <w:sz w:val="24"/>
          <w:szCs w:val="24"/>
        </w:rPr>
        <w:t>отчетност</w:t>
      </w:r>
      <w:r w:rsidRPr="009C5D97">
        <w:rPr>
          <w:rFonts w:ascii="Times New Roman" w:hAnsi="Times New Roman"/>
          <w:color w:val="000000"/>
          <w:sz w:val="24"/>
          <w:szCs w:val="24"/>
        </w:rPr>
        <w:t xml:space="preserve"> и ефикасното управување со јавните финансии;</w:t>
      </w:r>
    </w:p>
    <w:p w:rsidR="009768C4" w:rsidRPr="009C5D97"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w:t>
      </w:r>
      <w:r w:rsidRPr="009C5D97">
        <w:rPr>
          <w:rFonts w:ascii="Times New Roman" w:hAnsi="Times New Roman"/>
          <w:color w:val="000000"/>
          <w:sz w:val="24"/>
          <w:szCs w:val="24"/>
        </w:rPr>
        <w:tab/>
        <w:t>да го донесе нацрт-законот за државна ревизија за да се зајакне независноста на Државниот завод за ревизија (ДЗР), да се подобри соработката меѓу ДЗР и Собранието, да се подобр</w:t>
      </w:r>
      <w:r>
        <w:rPr>
          <w:rFonts w:ascii="Times New Roman" w:hAnsi="Times New Roman"/>
          <w:color w:val="000000"/>
          <w:sz w:val="24"/>
          <w:szCs w:val="24"/>
        </w:rPr>
        <w:t>ат</w:t>
      </w:r>
      <w:r w:rsidRPr="009C5D97">
        <w:rPr>
          <w:rFonts w:ascii="Times New Roman" w:hAnsi="Times New Roman"/>
          <w:color w:val="000000"/>
          <w:sz w:val="24"/>
          <w:szCs w:val="24"/>
        </w:rPr>
        <w:t xml:space="preserve"> собраниската контрола врз спроведувањето на одделни ревизорски извештаи и последователното следење на препораките на ДЗР;</w:t>
      </w:r>
    </w:p>
    <w:p w:rsidR="009768C4" w:rsidRPr="009C5D97" w:rsidRDefault="009768C4"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w:t>
      </w:r>
      <w:r w:rsidRPr="009C5D97">
        <w:rPr>
          <w:rFonts w:ascii="Times New Roman" w:hAnsi="Times New Roman"/>
          <w:color w:val="000000"/>
          <w:sz w:val="24"/>
          <w:szCs w:val="24"/>
        </w:rPr>
        <w:tab/>
        <w:t xml:space="preserve">да осигури ефикасно функционирање на </w:t>
      </w:r>
      <w:r>
        <w:rPr>
          <w:rFonts w:ascii="Times New Roman" w:hAnsi="Times New Roman"/>
          <w:color w:val="000000"/>
          <w:sz w:val="24"/>
          <w:szCs w:val="24"/>
        </w:rPr>
        <w:t>М</w:t>
      </w:r>
      <w:r w:rsidRPr="009C5D97">
        <w:rPr>
          <w:rFonts w:ascii="Times New Roman" w:hAnsi="Times New Roman"/>
          <w:color w:val="000000"/>
          <w:sz w:val="24"/>
          <w:szCs w:val="24"/>
        </w:rPr>
        <w:t>режата за координација против измами (АФКОС) и да се подобрат спречувањето, управувањето и пријавувањето неправилности во врска со фондовите на ЕУ.</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color w:val="000000"/>
          <w:sz w:val="24"/>
          <w:szCs w:val="24"/>
          <w:u w:val="single"/>
        </w:rPr>
        <w:t>Јавна внатрешна финансиска контрола</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 xml:space="preserve">Иницијативите за ЈВФК се вклучени под столб VI од </w:t>
      </w:r>
      <w:r>
        <w:rPr>
          <w:rFonts w:ascii="Times New Roman" w:hAnsi="Times New Roman"/>
          <w:color w:val="000000"/>
          <w:sz w:val="24"/>
          <w:szCs w:val="24"/>
        </w:rPr>
        <w:t>П</w:t>
      </w:r>
      <w:r w:rsidRPr="009C5D97">
        <w:rPr>
          <w:rFonts w:ascii="Times New Roman" w:hAnsi="Times New Roman"/>
          <w:color w:val="000000"/>
          <w:sz w:val="24"/>
          <w:szCs w:val="24"/>
        </w:rPr>
        <w:t xml:space="preserve">рограмата за реформа на јавните финансии </w:t>
      </w:r>
      <w:r>
        <w:rPr>
          <w:rFonts w:ascii="Times New Roman" w:hAnsi="Times New Roman"/>
          <w:color w:val="000000"/>
          <w:sz w:val="24"/>
          <w:szCs w:val="24"/>
        </w:rPr>
        <w:t>(</w:t>
      </w:r>
      <w:r w:rsidRPr="009C5D97">
        <w:rPr>
          <w:rFonts w:ascii="Times New Roman" w:hAnsi="Times New Roman"/>
          <w:color w:val="000000"/>
          <w:sz w:val="24"/>
          <w:szCs w:val="24"/>
        </w:rPr>
        <w:t>2022</w:t>
      </w:r>
      <w:r>
        <w:rPr>
          <w:rFonts w:ascii="Times New Roman" w:hAnsi="Times New Roman"/>
          <w:color w:val="000000"/>
          <w:sz w:val="24"/>
          <w:szCs w:val="24"/>
        </w:rPr>
        <w:t xml:space="preserve"> - </w:t>
      </w:r>
      <w:r w:rsidRPr="009C5D97">
        <w:rPr>
          <w:rFonts w:ascii="Times New Roman" w:hAnsi="Times New Roman"/>
          <w:color w:val="000000"/>
          <w:sz w:val="24"/>
          <w:szCs w:val="24"/>
        </w:rPr>
        <w:t>2025</w:t>
      </w:r>
      <w:r>
        <w:rPr>
          <w:rFonts w:ascii="Times New Roman" w:hAnsi="Times New Roman"/>
          <w:color w:val="000000"/>
          <w:sz w:val="24"/>
          <w:szCs w:val="24"/>
        </w:rPr>
        <w:t>)</w:t>
      </w:r>
      <w:r w:rsidRPr="009C5D97">
        <w:rPr>
          <w:rFonts w:ascii="Times New Roman" w:hAnsi="Times New Roman"/>
          <w:color w:val="000000"/>
          <w:sz w:val="24"/>
          <w:szCs w:val="24"/>
        </w:rPr>
        <w:t>. Спроведувањето на документот за политика за ЈВФК е вклучен</w:t>
      </w:r>
      <w:r>
        <w:rPr>
          <w:rFonts w:ascii="Times New Roman" w:hAnsi="Times New Roman"/>
          <w:color w:val="000000"/>
          <w:sz w:val="24"/>
          <w:szCs w:val="24"/>
        </w:rPr>
        <w:t>о</w:t>
      </w:r>
      <w:r w:rsidRPr="009C5D97">
        <w:rPr>
          <w:rFonts w:ascii="Times New Roman" w:hAnsi="Times New Roman"/>
          <w:color w:val="000000"/>
          <w:sz w:val="24"/>
          <w:szCs w:val="24"/>
        </w:rPr>
        <w:t xml:space="preserve"> во годишниот извештај за следење на </w:t>
      </w:r>
      <w:r>
        <w:rPr>
          <w:rFonts w:ascii="Times New Roman" w:hAnsi="Times New Roman"/>
          <w:color w:val="000000"/>
          <w:sz w:val="24"/>
          <w:szCs w:val="24"/>
        </w:rPr>
        <w:t>П</w:t>
      </w:r>
      <w:r w:rsidRPr="009C5D97">
        <w:rPr>
          <w:rFonts w:ascii="Times New Roman" w:hAnsi="Times New Roman"/>
          <w:color w:val="000000"/>
          <w:sz w:val="24"/>
          <w:szCs w:val="24"/>
        </w:rPr>
        <w:t xml:space="preserve">рограмата за реформата за управување со јавните финансии за 2022 година. </w:t>
      </w:r>
      <w:r>
        <w:rPr>
          <w:rFonts w:ascii="Times New Roman" w:hAnsi="Times New Roman"/>
          <w:color w:val="000000"/>
          <w:sz w:val="24"/>
          <w:szCs w:val="24"/>
        </w:rPr>
        <w:t>П</w:t>
      </w:r>
      <w:r w:rsidRPr="009C5D97">
        <w:rPr>
          <w:rFonts w:ascii="Times New Roman" w:hAnsi="Times New Roman"/>
          <w:color w:val="000000"/>
          <w:sz w:val="24"/>
          <w:szCs w:val="24"/>
        </w:rPr>
        <w:t xml:space="preserve">о долго одложување во септември 2022 година </w:t>
      </w:r>
      <w:r>
        <w:rPr>
          <w:rFonts w:ascii="Times New Roman" w:hAnsi="Times New Roman"/>
          <w:color w:val="000000"/>
          <w:sz w:val="24"/>
          <w:szCs w:val="24"/>
        </w:rPr>
        <w:t xml:space="preserve">донесен е </w:t>
      </w:r>
      <w:r w:rsidRPr="009C5D97">
        <w:rPr>
          <w:rFonts w:ascii="Times New Roman" w:hAnsi="Times New Roman"/>
          <w:color w:val="000000"/>
          <w:sz w:val="24"/>
          <w:szCs w:val="24"/>
        </w:rPr>
        <w:t xml:space="preserve">Законот за буџетите, но реформите за ЈВФК </w:t>
      </w:r>
      <w:r>
        <w:rPr>
          <w:rFonts w:ascii="Times New Roman" w:hAnsi="Times New Roman"/>
          <w:color w:val="000000"/>
          <w:sz w:val="24"/>
          <w:szCs w:val="24"/>
        </w:rPr>
        <w:t>и понатаму се попречени со</w:t>
      </w:r>
      <w:r w:rsidRPr="009C5D97">
        <w:rPr>
          <w:rFonts w:ascii="Times New Roman" w:hAnsi="Times New Roman"/>
          <w:color w:val="000000"/>
          <w:sz w:val="24"/>
          <w:szCs w:val="24"/>
        </w:rPr>
        <w:t xml:space="preserve"> </w:t>
      </w:r>
      <w:r>
        <w:rPr>
          <w:rFonts w:ascii="Times New Roman" w:hAnsi="Times New Roman"/>
          <w:color w:val="000000"/>
          <w:sz w:val="24"/>
          <w:szCs w:val="24"/>
        </w:rPr>
        <w:t>доцнењето</w:t>
      </w:r>
      <w:r w:rsidRPr="009C5D97">
        <w:rPr>
          <w:rFonts w:ascii="Times New Roman" w:hAnsi="Times New Roman"/>
          <w:color w:val="000000"/>
          <w:sz w:val="24"/>
          <w:szCs w:val="24"/>
        </w:rPr>
        <w:t xml:space="preserve"> со донесувањето на Законот за ЈВФК и ограничениот капацитет на клучните институции.</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 xml:space="preserve">Правната рамка за </w:t>
      </w:r>
      <w:r w:rsidRPr="009C5D97">
        <w:rPr>
          <w:rFonts w:ascii="Times New Roman" w:hAnsi="Times New Roman"/>
          <w:b/>
          <w:bCs/>
          <w:color w:val="000000"/>
          <w:sz w:val="24"/>
          <w:szCs w:val="24"/>
        </w:rPr>
        <w:t>внатрешна контрола</w:t>
      </w:r>
      <w:r w:rsidRPr="009C5D97">
        <w:rPr>
          <w:rFonts w:ascii="Times New Roman" w:hAnsi="Times New Roman"/>
          <w:color w:val="000000"/>
          <w:sz w:val="24"/>
          <w:szCs w:val="24"/>
        </w:rPr>
        <w:t xml:space="preserve"> во голема мера е усогласена со меѓународните стандарди. Нејзиното спроведување треба дополнително да се зајакне. И покрај тековната работа за обезбедување дополнителни насоки, ефикасното спроведување на </w:t>
      </w:r>
      <w:r w:rsidRPr="009C5D97">
        <w:rPr>
          <w:rFonts w:ascii="Times New Roman" w:hAnsi="Times New Roman"/>
          <w:b/>
          <w:bCs/>
          <w:color w:val="000000"/>
          <w:sz w:val="24"/>
          <w:szCs w:val="24"/>
        </w:rPr>
        <w:t xml:space="preserve">раководната </w:t>
      </w:r>
      <w:r>
        <w:rPr>
          <w:rFonts w:ascii="Times New Roman" w:hAnsi="Times New Roman"/>
          <w:b/>
          <w:bCs/>
          <w:color w:val="000000"/>
          <w:sz w:val="24"/>
          <w:szCs w:val="24"/>
        </w:rPr>
        <w:t>отчетност</w:t>
      </w:r>
      <w:r w:rsidRPr="009C5D97">
        <w:rPr>
          <w:rFonts w:ascii="Times New Roman" w:hAnsi="Times New Roman"/>
          <w:color w:val="000000"/>
          <w:sz w:val="24"/>
          <w:szCs w:val="24"/>
        </w:rPr>
        <w:t xml:space="preserve"> останува предизвик за буџетските корисници на централно и на локално ниво. Потребно е да се обезбеди кохерентна и доследна примена на Прирачникот за раководна </w:t>
      </w:r>
      <w:r>
        <w:rPr>
          <w:rFonts w:ascii="Times New Roman" w:hAnsi="Times New Roman"/>
          <w:color w:val="000000"/>
          <w:sz w:val="24"/>
          <w:szCs w:val="24"/>
        </w:rPr>
        <w:t>отчетност</w:t>
      </w:r>
      <w:r w:rsidRPr="009C5D97">
        <w:rPr>
          <w:rFonts w:ascii="Times New Roman" w:hAnsi="Times New Roman"/>
          <w:color w:val="000000"/>
          <w:sz w:val="24"/>
          <w:szCs w:val="24"/>
        </w:rPr>
        <w:t>.</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В</w:t>
      </w:r>
      <w:r w:rsidRPr="009C5D97">
        <w:rPr>
          <w:rFonts w:ascii="Times New Roman" w:hAnsi="Times New Roman"/>
          <w:color w:val="000000"/>
          <w:sz w:val="24"/>
          <w:szCs w:val="24"/>
        </w:rPr>
        <w:t>о јануари 2023 година Собранието</w:t>
      </w:r>
      <w:r w:rsidRPr="00400246">
        <w:rPr>
          <w:rFonts w:ascii="Times New Roman" w:hAnsi="Times New Roman"/>
          <w:color w:val="000000"/>
          <w:sz w:val="24"/>
          <w:szCs w:val="24"/>
        </w:rPr>
        <w:t xml:space="preserve"> </w:t>
      </w:r>
      <w:r>
        <w:rPr>
          <w:rFonts w:ascii="Times New Roman" w:hAnsi="Times New Roman"/>
          <w:color w:val="000000"/>
          <w:sz w:val="24"/>
          <w:szCs w:val="24"/>
        </w:rPr>
        <w:t>донесе н</w:t>
      </w:r>
      <w:r w:rsidRPr="009C5D97">
        <w:rPr>
          <w:rFonts w:ascii="Times New Roman" w:hAnsi="Times New Roman"/>
          <w:color w:val="000000"/>
          <w:sz w:val="24"/>
          <w:szCs w:val="24"/>
        </w:rPr>
        <w:t xml:space="preserve">ов Закон за финансиска инспекција, но </w:t>
      </w:r>
      <w:r w:rsidRPr="009C5D97">
        <w:rPr>
          <w:rFonts w:ascii="Times New Roman" w:hAnsi="Times New Roman"/>
          <w:b/>
          <w:bCs/>
          <w:color w:val="000000"/>
          <w:sz w:val="24"/>
          <w:szCs w:val="24"/>
        </w:rPr>
        <w:t>финансиските инспекции</w:t>
      </w:r>
      <w:r w:rsidRPr="009C5D97">
        <w:rPr>
          <w:rFonts w:ascii="Times New Roman" w:hAnsi="Times New Roman"/>
          <w:color w:val="000000"/>
          <w:sz w:val="24"/>
          <w:szCs w:val="24"/>
        </w:rPr>
        <w:t xml:space="preserve"> сѐ уште не работат ефикасно. За тоа ќе биде потребно зајакнување на капацитетите, натамошен развој на методолошките алатки и осигурување </w:t>
      </w:r>
      <w:r>
        <w:rPr>
          <w:rFonts w:ascii="Times New Roman" w:hAnsi="Times New Roman"/>
          <w:color w:val="000000"/>
          <w:sz w:val="24"/>
          <w:szCs w:val="24"/>
        </w:rPr>
        <w:t xml:space="preserve">на </w:t>
      </w:r>
      <w:r w:rsidRPr="009C5D97">
        <w:rPr>
          <w:rFonts w:ascii="Times New Roman" w:hAnsi="Times New Roman"/>
          <w:color w:val="000000"/>
          <w:sz w:val="24"/>
          <w:szCs w:val="24"/>
        </w:rPr>
        <w:t>нивно</w:t>
      </w:r>
      <w:r>
        <w:rPr>
          <w:rFonts w:ascii="Times New Roman" w:hAnsi="Times New Roman"/>
          <w:color w:val="000000"/>
          <w:sz w:val="24"/>
          <w:szCs w:val="24"/>
        </w:rPr>
        <w:t>то</w:t>
      </w:r>
      <w:r w:rsidRPr="009C5D97">
        <w:rPr>
          <w:rFonts w:ascii="Times New Roman" w:hAnsi="Times New Roman"/>
          <w:color w:val="000000"/>
          <w:sz w:val="24"/>
          <w:szCs w:val="24"/>
        </w:rPr>
        <w:t xml:space="preserve"> спроведување.</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Фрагментарноста и несоодветната кадровска екипираност за</w:t>
      </w:r>
      <w:r>
        <w:rPr>
          <w:rFonts w:ascii="Times New Roman" w:hAnsi="Times New Roman"/>
          <w:color w:val="000000"/>
          <w:sz w:val="24"/>
          <w:szCs w:val="24"/>
        </w:rPr>
        <w:t xml:space="preserve"> функцијата на</w:t>
      </w:r>
      <w:r w:rsidRPr="009C5D97">
        <w:rPr>
          <w:rFonts w:ascii="Times New Roman" w:hAnsi="Times New Roman"/>
          <w:color w:val="000000"/>
          <w:sz w:val="24"/>
          <w:szCs w:val="24"/>
        </w:rPr>
        <w:t xml:space="preserve"> </w:t>
      </w:r>
      <w:r w:rsidRPr="009C5D97">
        <w:rPr>
          <w:rFonts w:ascii="Times New Roman" w:hAnsi="Times New Roman"/>
          <w:b/>
          <w:bCs/>
          <w:color w:val="000000"/>
          <w:sz w:val="24"/>
          <w:szCs w:val="24"/>
        </w:rPr>
        <w:t>внатрешна ревизија</w:t>
      </w:r>
      <w:r w:rsidRPr="009C5D97">
        <w:rPr>
          <w:rFonts w:ascii="Times New Roman" w:hAnsi="Times New Roman"/>
          <w:color w:val="000000"/>
          <w:sz w:val="24"/>
          <w:szCs w:val="24"/>
        </w:rPr>
        <w:t xml:space="preserve"> ги намалуваат организацискиот капацитет и обезбедувањето квалитет. Сè уште има потреба од воведување национален систем за сертификација за внатрешни ревизори.</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b/>
          <w:bCs/>
          <w:color w:val="000000"/>
          <w:sz w:val="24"/>
          <w:szCs w:val="24"/>
        </w:rPr>
        <w:t>Централната единица за хармонизација</w:t>
      </w:r>
      <w:r w:rsidRPr="009C5D97">
        <w:rPr>
          <w:rFonts w:ascii="Times New Roman" w:hAnsi="Times New Roman"/>
          <w:color w:val="000000"/>
          <w:sz w:val="24"/>
          <w:szCs w:val="24"/>
        </w:rPr>
        <w:t xml:space="preserve"> (ЦЕХ) продолжи да го координира финансиското управување и контрола и внатрешната ревизија во јавниот сектор и да обезбед</w:t>
      </w:r>
      <w:r>
        <w:rPr>
          <w:rFonts w:ascii="Times New Roman" w:hAnsi="Times New Roman"/>
          <w:color w:val="000000"/>
          <w:sz w:val="24"/>
          <w:szCs w:val="24"/>
        </w:rPr>
        <w:t>ува</w:t>
      </w:r>
      <w:r w:rsidRPr="009C5D97">
        <w:rPr>
          <w:rFonts w:ascii="Times New Roman" w:hAnsi="Times New Roman"/>
          <w:color w:val="000000"/>
          <w:sz w:val="24"/>
          <w:szCs w:val="24"/>
        </w:rPr>
        <w:t xml:space="preserve"> насок</w:t>
      </w:r>
      <w:r>
        <w:rPr>
          <w:rFonts w:ascii="Times New Roman" w:hAnsi="Times New Roman"/>
          <w:color w:val="000000"/>
          <w:sz w:val="24"/>
          <w:szCs w:val="24"/>
        </w:rPr>
        <w:t>и за методологии</w:t>
      </w:r>
      <w:r w:rsidRPr="009C5D97">
        <w:rPr>
          <w:rFonts w:ascii="Times New Roman" w:hAnsi="Times New Roman"/>
          <w:color w:val="000000"/>
          <w:sz w:val="24"/>
          <w:szCs w:val="24"/>
        </w:rPr>
        <w:t xml:space="preserve">. Воспоставена е нова единица за проверка на квалитетот на финансиското управување и контрола и на работата на внатрешната ревизија. Сепак, капацитетот на ЦЕХ останува недоволен. </w:t>
      </w:r>
      <w:r>
        <w:rPr>
          <w:rFonts w:ascii="Times New Roman" w:hAnsi="Times New Roman"/>
          <w:color w:val="000000"/>
          <w:sz w:val="24"/>
          <w:szCs w:val="24"/>
        </w:rPr>
        <w:t>М</w:t>
      </w:r>
      <w:r w:rsidRPr="009C5D97">
        <w:rPr>
          <w:rFonts w:ascii="Times New Roman" w:hAnsi="Times New Roman"/>
          <w:color w:val="000000"/>
          <w:sz w:val="24"/>
          <w:szCs w:val="24"/>
        </w:rPr>
        <w:t xml:space="preserve">оментно ЦЕХ има осум </w:t>
      </w:r>
      <w:r>
        <w:rPr>
          <w:rFonts w:ascii="Times New Roman" w:hAnsi="Times New Roman"/>
          <w:color w:val="000000"/>
          <w:sz w:val="24"/>
          <w:szCs w:val="24"/>
        </w:rPr>
        <w:t>вработени</w:t>
      </w:r>
      <w:r w:rsidRPr="009C5D97">
        <w:rPr>
          <w:rFonts w:ascii="Times New Roman" w:hAnsi="Times New Roman"/>
          <w:color w:val="000000"/>
          <w:sz w:val="24"/>
          <w:szCs w:val="24"/>
        </w:rPr>
        <w:t xml:space="preserve"> за следење и известување за работата на севкупниот систем за внатрешна контрола што вклучува повеќе од 1.300 јавни субјекти.</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color w:val="000000"/>
          <w:sz w:val="24"/>
          <w:szCs w:val="24"/>
          <w:u w:val="single"/>
        </w:rPr>
        <w:t>Надворешна ревизија</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 xml:space="preserve">Постојниот Закон за </w:t>
      </w:r>
      <w:r w:rsidRPr="009C5D97">
        <w:rPr>
          <w:rFonts w:ascii="Times New Roman" w:hAnsi="Times New Roman"/>
          <w:b/>
          <w:bCs/>
          <w:color w:val="000000"/>
          <w:sz w:val="24"/>
          <w:szCs w:val="24"/>
        </w:rPr>
        <w:t>државна ревизија</w:t>
      </w:r>
      <w:r w:rsidRPr="009C5D97">
        <w:rPr>
          <w:rFonts w:ascii="Times New Roman" w:hAnsi="Times New Roman"/>
          <w:color w:val="000000"/>
          <w:sz w:val="24"/>
          <w:szCs w:val="24"/>
        </w:rPr>
        <w:t xml:space="preserve"> во голема мера е усогласен со меѓународните стандарди. Треба да се донесе новиот Закон за државна ревизија </w:t>
      </w:r>
      <w:r>
        <w:rPr>
          <w:rFonts w:ascii="Times New Roman" w:hAnsi="Times New Roman"/>
          <w:color w:val="000000"/>
          <w:sz w:val="24"/>
          <w:szCs w:val="24"/>
        </w:rPr>
        <w:t>што</w:t>
      </w:r>
      <w:r w:rsidRPr="009C5D97">
        <w:rPr>
          <w:rFonts w:ascii="Times New Roman" w:hAnsi="Times New Roman"/>
          <w:color w:val="000000"/>
          <w:sz w:val="24"/>
          <w:szCs w:val="24"/>
        </w:rPr>
        <w:t xml:space="preserve"> има цел да ја зајакне функцијата на надворешната ревизија на јавниот сектор и да ја зголеми финансиската и оперативната независност на ДЗР - </w:t>
      </w:r>
      <w:r>
        <w:rPr>
          <w:rFonts w:ascii="Times New Roman" w:hAnsi="Times New Roman"/>
          <w:color w:val="000000"/>
          <w:sz w:val="24"/>
          <w:szCs w:val="24"/>
        </w:rPr>
        <w:t>која</w:t>
      </w:r>
      <w:r w:rsidRPr="009C5D97">
        <w:rPr>
          <w:rFonts w:ascii="Times New Roman" w:hAnsi="Times New Roman"/>
          <w:color w:val="000000"/>
          <w:sz w:val="24"/>
          <w:szCs w:val="24"/>
        </w:rPr>
        <w:t xml:space="preserve"> сè уште не е гарантирана со Уставот. ДЗР врши ревизија на усогласеноста на завршните владини сметки на основниот буџет до јуни секоја година. Во 2022 година ревизијата опфати</w:t>
      </w:r>
      <w:r>
        <w:rPr>
          <w:rFonts w:ascii="Times New Roman" w:hAnsi="Times New Roman"/>
          <w:color w:val="000000"/>
          <w:sz w:val="24"/>
          <w:szCs w:val="24"/>
        </w:rPr>
        <w:t>ла</w:t>
      </w:r>
      <w:r w:rsidRPr="009C5D97">
        <w:rPr>
          <w:rFonts w:ascii="Times New Roman" w:hAnsi="Times New Roman"/>
          <w:color w:val="000000"/>
          <w:sz w:val="24"/>
          <w:szCs w:val="24"/>
        </w:rPr>
        <w:t xml:space="preserve"> 82% од расходите што е зголемување за 2</w:t>
      </w:r>
      <w:r>
        <w:rPr>
          <w:rFonts w:ascii="Times New Roman" w:hAnsi="Times New Roman"/>
          <w:color w:val="000000"/>
          <w:sz w:val="24"/>
          <w:szCs w:val="24"/>
        </w:rPr>
        <w:t xml:space="preserve"> </w:t>
      </w:r>
      <w:r w:rsidRPr="009C5D97">
        <w:rPr>
          <w:rFonts w:ascii="Times New Roman" w:hAnsi="Times New Roman"/>
          <w:color w:val="000000"/>
          <w:sz w:val="24"/>
          <w:szCs w:val="24"/>
        </w:rPr>
        <w:t xml:space="preserve">% од минатата година. </w:t>
      </w:r>
      <w:r>
        <w:rPr>
          <w:rFonts w:ascii="Times New Roman" w:hAnsi="Times New Roman"/>
          <w:color w:val="000000"/>
          <w:sz w:val="24"/>
          <w:szCs w:val="24"/>
        </w:rPr>
        <w:t xml:space="preserve">Во неа </w:t>
      </w:r>
      <w:r w:rsidR="00E45F9B">
        <w:rPr>
          <w:rFonts w:ascii="Times New Roman" w:hAnsi="Times New Roman"/>
          <w:color w:val="000000"/>
          <w:sz w:val="24"/>
          <w:szCs w:val="24"/>
        </w:rPr>
        <w:t>беа</w:t>
      </w:r>
      <w:r w:rsidR="00AF05B3">
        <w:rPr>
          <w:rFonts w:ascii="Times New Roman" w:hAnsi="Times New Roman"/>
          <w:color w:val="000000"/>
          <w:sz w:val="24"/>
          <w:szCs w:val="24"/>
        </w:rPr>
        <w:t xml:space="preserve"> </w:t>
      </w:r>
      <w:r w:rsidRPr="009C5D97">
        <w:rPr>
          <w:rFonts w:ascii="Times New Roman" w:hAnsi="Times New Roman"/>
          <w:color w:val="000000"/>
          <w:sz w:val="24"/>
          <w:szCs w:val="24"/>
        </w:rPr>
        <w:t>вклуч</w:t>
      </w:r>
      <w:r>
        <w:rPr>
          <w:rFonts w:ascii="Times New Roman" w:hAnsi="Times New Roman"/>
          <w:color w:val="000000"/>
          <w:sz w:val="24"/>
          <w:szCs w:val="24"/>
        </w:rPr>
        <w:t>ени</w:t>
      </w:r>
      <w:r w:rsidRPr="009C5D97">
        <w:rPr>
          <w:rFonts w:ascii="Times New Roman" w:hAnsi="Times New Roman"/>
          <w:color w:val="000000"/>
          <w:sz w:val="24"/>
          <w:szCs w:val="24"/>
        </w:rPr>
        <w:t xml:space="preserve"> трошоци</w:t>
      </w:r>
      <w:r>
        <w:rPr>
          <w:rFonts w:ascii="Times New Roman" w:hAnsi="Times New Roman"/>
          <w:color w:val="000000"/>
          <w:sz w:val="24"/>
          <w:szCs w:val="24"/>
        </w:rPr>
        <w:t>те</w:t>
      </w:r>
      <w:r w:rsidRPr="009C5D97">
        <w:rPr>
          <w:rFonts w:ascii="Times New Roman" w:hAnsi="Times New Roman"/>
          <w:color w:val="000000"/>
          <w:sz w:val="24"/>
          <w:szCs w:val="24"/>
        </w:rPr>
        <w:t xml:space="preserve"> опфатени со ревизија</w:t>
      </w:r>
      <w:r>
        <w:rPr>
          <w:rFonts w:ascii="Times New Roman" w:hAnsi="Times New Roman"/>
          <w:color w:val="000000"/>
          <w:sz w:val="24"/>
          <w:szCs w:val="24"/>
        </w:rPr>
        <w:t>та</w:t>
      </w:r>
      <w:r w:rsidRPr="009C5D97">
        <w:rPr>
          <w:rFonts w:ascii="Times New Roman" w:hAnsi="Times New Roman"/>
          <w:color w:val="000000"/>
          <w:sz w:val="24"/>
          <w:szCs w:val="24"/>
        </w:rPr>
        <w:t xml:space="preserve"> на регуларноста во износ од 3.182 милиони евра (односно 77</w:t>
      </w:r>
      <w:r>
        <w:rPr>
          <w:rFonts w:ascii="Times New Roman" w:hAnsi="Times New Roman"/>
          <w:color w:val="000000"/>
          <w:sz w:val="24"/>
          <w:szCs w:val="24"/>
        </w:rPr>
        <w:t xml:space="preserve"> </w:t>
      </w:r>
      <w:r w:rsidRPr="009C5D97">
        <w:rPr>
          <w:rFonts w:ascii="Times New Roman" w:hAnsi="Times New Roman"/>
          <w:color w:val="000000"/>
          <w:sz w:val="24"/>
          <w:szCs w:val="24"/>
        </w:rPr>
        <w:t>%), трошоци</w:t>
      </w:r>
      <w:r>
        <w:rPr>
          <w:rFonts w:ascii="Times New Roman" w:hAnsi="Times New Roman"/>
          <w:color w:val="000000"/>
          <w:sz w:val="24"/>
          <w:szCs w:val="24"/>
        </w:rPr>
        <w:t>те</w:t>
      </w:r>
      <w:r w:rsidRPr="009C5D97">
        <w:rPr>
          <w:rFonts w:ascii="Times New Roman" w:hAnsi="Times New Roman"/>
          <w:color w:val="000000"/>
          <w:sz w:val="24"/>
          <w:szCs w:val="24"/>
        </w:rPr>
        <w:t xml:space="preserve"> опфатени со ревизија</w:t>
      </w:r>
      <w:r>
        <w:rPr>
          <w:rFonts w:ascii="Times New Roman" w:hAnsi="Times New Roman"/>
          <w:color w:val="000000"/>
          <w:sz w:val="24"/>
          <w:szCs w:val="24"/>
        </w:rPr>
        <w:t>та</w:t>
      </w:r>
      <w:r w:rsidRPr="009C5D97">
        <w:rPr>
          <w:rFonts w:ascii="Times New Roman" w:hAnsi="Times New Roman"/>
          <w:color w:val="000000"/>
          <w:sz w:val="24"/>
          <w:szCs w:val="24"/>
        </w:rPr>
        <w:t xml:space="preserve"> на успешноста во износ од 188 милиони евра (односно 4</w:t>
      </w:r>
      <w:r>
        <w:rPr>
          <w:rFonts w:ascii="Times New Roman" w:hAnsi="Times New Roman"/>
          <w:color w:val="000000"/>
          <w:sz w:val="24"/>
          <w:szCs w:val="24"/>
        </w:rPr>
        <w:t xml:space="preserve"> </w:t>
      </w:r>
      <w:r w:rsidRPr="009C5D97">
        <w:rPr>
          <w:rFonts w:ascii="Times New Roman" w:hAnsi="Times New Roman"/>
          <w:color w:val="000000"/>
          <w:sz w:val="24"/>
          <w:szCs w:val="24"/>
        </w:rPr>
        <w:t>%) и трошоци</w:t>
      </w:r>
      <w:r>
        <w:rPr>
          <w:rFonts w:ascii="Times New Roman" w:hAnsi="Times New Roman"/>
          <w:color w:val="000000"/>
          <w:sz w:val="24"/>
          <w:szCs w:val="24"/>
        </w:rPr>
        <w:t>те</w:t>
      </w:r>
      <w:r w:rsidRPr="009C5D97">
        <w:rPr>
          <w:rFonts w:ascii="Times New Roman" w:hAnsi="Times New Roman"/>
          <w:color w:val="000000"/>
          <w:sz w:val="24"/>
          <w:szCs w:val="24"/>
        </w:rPr>
        <w:t xml:space="preserve"> опфатени со ревизија</w:t>
      </w:r>
      <w:r>
        <w:rPr>
          <w:rFonts w:ascii="Times New Roman" w:hAnsi="Times New Roman"/>
          <w:color w:val="000000"/>
          <w:sz w:val="24"/>
          <w:szCs w:val="24"/>
        </w:rPr>
        <w:t>та</w:t>
      </w:r>
      <w:r w:rsidRPr="009C5D97">
        <w:rPr>
          <w:rFonts w:ascii="Times New Roman" w:hAnsi="Times New Roman"/>
          <w:color w:val="000000"/>
          <w:sz w:val="24"/>
          <w:szCs w:val="24"/>
        </w:rPr>
        <w:t xml:space="preserve"> на усогласеноста во износ од 39 милиони евра (1</w:t>
      </w:r>
      <w:r>
        <w:rPr>
          <w:rFonts w:ascii="Times New Roman" w:hAnsi="Times New Roman"/>
          <w:color w:val="000000"/>
          <w:sz w:val="24"/>
          <w:szCs w:val="24"/>
        </w:rPr>
        <w:t xml:space="preserve"> </w:t>
      </w:r>
      <w:r w:rsidRPr="009C5D97">
        <w:rPr>
          <w:rFonts w:ascii="Times New Roman" w:hAnsi="Times New Roman"/>
          <w:color w:val="000000"/>
          <w:sz w:val="24"/>
          <w:szCs w:val="24"/>
        </w:rPr>
        <w:t>%).</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 xml:space="preserve">Годишниот извештај од 2021 година за извршените ревизии </w:t>
      </w:r>
      <w:r>
        <w:rPr>
          <w:rFonts w:ascii="Times New Roman" w:hAnsi="Times New Roman"/>
          <w:color w:val="000000"/>
          <w:sz w:val="24"/>
          <w:szCs w:val="24"/>
        </w:rPr>
        <w:t>е</w:t>
      </w:r>
      <w:r w:rsidRPr="009C5D97">
        <w:rPr>
          <w:rFonts w:ascii="Times New Roman" w:hAnsi="Times New Roman"/>
          <w:color w:val="000000"/>
          <w:sz w:val="24"/>
          <w:szCs w:val="24"/>
        </w:rPr>
        <w:t xml:space="preserve"> донесен во март 2023 година </w:t>
      </w:r>
      <w:r>
        <w:rPr>
          <w:rFonts w:ascii="Times New Roman" w:hAnsi="Times New Roman"/>
          <w:color w:val="000000"/>
          <w:sz w:val="24"/>
          <w:szCs w:val="24"/>
        </w:rPr>
        <w:t xml:space="preserve">од </w:t>
      </w:r>
      <w:r w:rsidRPr="009C5D97">
        <w:rPr>
          <w:rFonts w:ascii="Times New Roman" w:hAnsi="Times New Roman"/>
          <w:color w:val="000000"/>
          <w:sz w:val="24"/>
          <w:szCs w:val="24"/>
        </w:rPr>
        <w:t xml:space="preserve">Собранието и објавен </w:t>
      </w:r>
      <w:r>
        <w:rPr>
          <w:rFonts w:ascii="Times New Roman" w:hAnsi="Times New Roman"/>
          <w:color w:val="000000"/>
          <w:sz w:val="24"/>
          <w:szCs w:val="24"/>
        </w:rPr>
        <w:t xml:space="preserve">е </w:t>
      </w:r>
      <w:r w:rsidRPr="009C5D97">
        <w:rPr>
          <w:rFonts w:ascii="Times New Roman" w:hAnsi="Times New Roman"/>
          <w:color w:val="000000"/>
          <w:sz w:val="24"/>
          <w:szCs w:val="24"/>
        </w:rPr>
        <w:t xml:space="preserve">на веб-страницата на ДЗР. Неговиот </w:t>
      </w:r>
      <w:r w:rsidRPr="009C5D97">
        <w:rPr>
          <w:rFonts w:ascii="Times New Roman" w:hAnsi="Times New Roman"/>
          <w:b/>
          <w:bCs/>
          <w:color w:val="000000"/>
          <w:sz w:val="24"/>
          <w:szCs w:val="24"/>
        </w:rPr>
        <w:t xml:space="preserve">квалитет </w:t>
      </w:r>
      <w:r w:rsidRPr="009C5D97">
        <w:rPr>
          <w:rFonts w:ascii="Times New Roman" w:hAnsi="Times New Roman"/>
          <w:color w:val="000000"/>
          <w:sz w:val="24"/>
          <w:szCs w:val="24"/>
        </w:rPr>
        <w:t xml:space="preserve">се смета за доволен. Во 2022 година ДЗР ја спроведе целосната </w:t>
      </w:r>
      <w:r>
        <w:rPr>
          <w:rFonts w:ascii="Times New Roman" w:hAnsi="Times New Roman"/>
          <w:color w:val="000000"/>
          <w:sz w:val="24"/>
          <w:szCs w:val="24"/>
        </w:rPr>
        <w:t>П</w:t>
      </w:r>
      <w:r w:rsidRPr="009C5D97">
        <w:rPr>
          <w:rFonts w:ascii="Times New Roman" w:hAnsi="Times New Roman"/>
          <w:color w:val="000000"/>
          <w:sz w:val="24"/>
          <w:szCs w:val="24"/>
        </w:rPr>
        <w:t>рограма за работа за ревизии што сочинуваше 188 ревизии, вклучително 171 ревизи</w:t>
      </w:r>
      <w:r>
        <w:rPr>
          <w:rFonts w:ascii="Times New Roman" w:hAnsi="Times New Roman"/>
          <w:color w:val="000000"/>
          <w:sz w:val="24"/>
          <w:szCs w:val="24"/>
        </w:rPr>
        <w:t>ја</w:t>
      </w:r>
      <w:r w:rsidRPr="009C5D97">
        <w:rPr>
          <w:rFonts w:ascii="Times New Roman" w:hAnsi="Times New Roman"/>
          <w:color w:val="000000"/>
          <w:sz w:val="24"/>
          <w:szCs w:val="24"/>
        </w:rPr>
        <w:t xml:space="preserve"> за регуларност (финансиска и усогласеност), 10 ревизии за успешност, две ИТ</w:t>
      </w:r>
      <w:r>
        <w:rPr>
          <w:rFonts w:ascii="Times New Roman" w:hAnsi="Times New Roman"/>
          <w:color w:val="000000"/>
          <w:sz w:val="24"/>
          <w:szCs w:val="24"/>
        </w:rPr>
        <w:t>-</w:t>
      </w:r>
      <w:r w:rsidRPr="009C5D97">
        <w:rPr>
          <w:rFonts w:ascii="Times New Roman" w:hAnsi="Times New Roman"/>
          <w:color w:val="000000"/>
          <w:sz w:val="24"/>
          <w:szCs w:val="24"/>
        </w:rPr>
        <w:t>ревизии и пет ревизии за усогласеност. Извештаите б</w:t>
      </w:r>
      <w:r w:rsidR="00E45F9B">
        <w:rPr>
          <w:rFonts w:ascii="Times New Roman" w:hAnsi="Times New Roman"/>
          <w:color w:val="000000"/>
          <w:sz w:val="24"/>
          <w:szCs w:val="24"/>
        </w:rPr>
        <w:t>еа</w:t>
      </w:r>
      <w:r w:rsidRPr="009C5D97">
        <w:rPr>
          <w:rFonts w:ascii="Times New Roman" w:hAnsi="Times New Roman"/>
          <w:color w:val="000000"/>
          <w:sz w:val="24"/>
          <w:szCs w:val="24"/>
        </w:rPr>
        <w:t xml:space="preserve"> пратени на расправа до Собранието и беа објавени на веб-страницата на ДЗР. Квалитетот на ревизорските извештаи е признаен од локалните и меѓународните чинители.</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 xml:space="preserve">Во однос на </w:t>
      </w:r>
      <w:r w:rsidRPr="009C5D97">
        <w:rPr>
          <w:rFonts w:ascii="Times New Roman" w:hAnsi="Times New Roman"/>
          <w:b/>
          <w:bCs/>
          <w:color w:val="000000"/>
          <w:sz w:val="24"/>
          <w:szCs w:val="24"/>
        </w:rPr>
        <w:t>институционал</w:t>
      </w:r>
      <w:r>
        <w:rPr>
          <w:rFonts w:ascii="Times New Roman" w:hAnsi="Times New Roman"/>
          <w:b/>
          <w:bCs/>
          <w:color w:val="000000"/>
          <w:sz w:val="24"/>
          <w:szCs w:val="24"/>
        </w:rPr>
        <w:t>ниот</w:t>
      </w:r>
      <w:r w:rsidRPr="009C5D97">
        <w:rPr>
          <w:rFonts w:ascii="Times New Roman" w:hAnsi="Times New Roman"/>
          <w:b/>
          <w:bCs/>
          <w:color w:val="000000"/>
          <w:sz w:val="24"/>
          <w:szCs w:val="24"/>
        </w:rPr>
        <w:t xml:space="preserve"> капацитет</w:t>
      </w:r>
      <w:r w:rsidRPr="009C5D97">
        <w:rPr>
          <w:rFonts w:ascii="Times New Roman" w:hAnsi="Times New Roman"/>
          <w:color w:val="000000"/>
          <w:sz w:val="24"/>
          <w:szCs w:val="24"/>
        </w:rPr>
        <w:t xml:space="preserve"> во септември 2022 година беа донесени нова </w:t>
      </w:r>
      <w:r>
        <w:rPr>
          <w:rFonts w:ascii="Times New Roman" w:hAnsi="Times New Roman"/>
          <w:color w:val="000000"/>
          <w:sz w:val="24"/>
          <w:szCs w:val="24"/>
        </w:rPr>
        <w:t>С</w:t>
      </w:r>
      <w:r w:rsidRPr="009C5D97">
        <w:rPr>
          <w:rFonts w:ascii="Times New Roman" w:hAnsi="Times New Roman"/>
          <w:color w:val="000000"/>
          <w:sz w:val="24"/>
          <w:szCs w:val="24"/>
        </w:rPr>
        <w:t xml:space="preserve">тратегија за развој на ДЗР </w:t>
      </w:r>
      <w:r>
        <w:rPr>
          <w:rFonts w:ascii="Times New Roman" w:hAnsi="Times New Roman"/>
          <w:color w:val="000000"/>
          <w:sz w:val="24"/>
          <w:szCs w:val="24"/>
        </w:rPr>
        <w:t>(</w:t>
      </w:r>
      <w:r w:rsidRPr="009C5D97">
        <w:rPr>
          <w:rFonts w:ascii="Times New Roman" w:hAnsi="Times New Roman"/>
          <w:color w:val="000000"/>
          <w:sz w:val="24"/>
          <w:szCs w:val="24"/>
        </w:rPr>
        <w:t>2023</w:t>
      </w:r>
      <w:r>
        <w:rPr>
          <w:rFonts w:ascii="Times New Roman" w:hAnsi="Times New Roman"/>
          <w:color w:val="000000"/>
          <w:sz w:val="24"/>
          <w:szCs w:val="24"/>
        </w:rPr>
        <w:t xml:space="preserve"> </w:t>
      </w:r>
      <w:r w:rsidRPr="009C5D97">
        <w:rPr>
          <w:rFonts w:ascii="Times New Roman" w:hAnsi="Times New Roman"/>
          <w:color w:val="000000"/>
          <w:sz w:val="24"/>
          <w:szCs w:val="24"/>
        </w:rPr>
        <w:t>-</w:t>
      </w:r>
      <w:r>
        <w:rPr>
          <w:rFonts w:ascii="Times New Roman" w:hAnsi="Times New Roman"/>
          <w:color w:val="000000"/>
          <w:sz w:val="24"/>
          <w:szCs w:val="24"/>
        </w:rPr>
        <w:t xml:space="preserve"> </w:t>
      </w:r>
      <w:r w:rsidRPr="009C5D97">
        <w:rPr>
          <w:rFonts w:ascii="Times New Roman" w:hAnsi="Times New Roman"/>
          <w:color w:val="000000"/>
          <w:sz w:val="24"/>
          <w:szCs w:val="24"/>
        </w:rPr>
        <w:t>2027</w:t>
      </w:r>
      <w:r>
        <w:rPr>
          <w:rFonts w:ascii="Times New Roman" w:hAnsi="Times New Roman"/>
          <w:color w:val="000000"/>
          <w:sz w:val="24"/>
          <w:szCs w:val="24"/>
        </w:rPr>
        <w:t>)</w:t>
      </w:r>
      <w:r w:rsidRPr="009C5D97">
        <w:rPr>
          <w:rFonts w:ascii="Times New Roman" w:hAnsi="Times New Roman"/>
          <w:color w:val="000000"/>
          <w:sz w:val="24"/>
          <w:szCs w:val="24"/>
        </w:rPr>
        <w:t xml:space="preserve"> и </w:t>
      </w:r>
      <w:r>
        <w:rPr>
          <w:rFonts w:ascii="Times New Roman" w:hAnsi="Times New Roman"/>
          <w:color w:val="000000"/>
          <w:sz w:val="24"/>
          <w:szCs w:val="24"/>
        </w:rPr>
        <w:t>А</w:t>
      </w:r>
      <w:r w:rsidRPr="009C5D97">
        <w:rPr>
          <w:rFonts w:ascii="Times New Roman" w:hAnsi="Times New Roman"/>
          <w:color w:val="000000"/>
          <w:sz w:val="24"/>
          <w:szCs w:val="24"/>
        </w:rPr>
        <w:t xml:space="preserve">кциски план. Стратегијата е тесно усогласена со приоритетите и мерките утврдени во </w:t>
      </w:r>
      <w:r>
        <w:rPr>
          <w:rFonts w:ascii="Times New Roman" w:hAnsi="Times New Roman"/>
          <w:color w:val="000000"/>
          <w:sz w:val="24"/>
          <w:szCs w:val="24"/>
        </w:rPr>
        <w:t>П</w:t>
      </w:r>
      <w:r w:rsidRPr="009C5D97">
        <w:rPr>
          <w:rFonts w:ascii="Times New Roman" w:hAnsi="Times New Roman"/>
          <w:color w:val="000000"/>
          <w:sz w:val="24"/>
          <w:szCs w:val="24"/>
        </w:rPr>
        <w:t xml:space="preserve">рограмата за реформата на управувањето со јавните финансии </w:t>
      </w:r>
      <w:r>
        <w:rPr>
          <w:rFonts w:ascii="Times New Roman" w:hAnsi="Times New Roman"/>
          <w:color w:val="000000"/>
          <w:sz w:val="24"/>
          <w:szCs w:val="24"/>
        </w:rPr>
        <w:t>(</w:t>
      </w:r>
      <w:r w:rsidRPr="009C5D97">
        <w:rPr>
          <w:rFonts w:ascii="Times New Roman" w:hAnsi="Times New Roman"/>
          <w:color w:val="000000"/>
          <w:sz w:val="24"/>
          <w:szCs w:val="24"/>
        </w:rPr>
        <w:t>2022</w:t>
      </w:r>
      <w:r>
        <w:rPr>
          <w:rFonts w:ascii="Times New Roman" w:hAnsi="Times New Roman"/>
          <w:color w:val="000000"/>
          <w:sz w:val="24"/>
          <w:szCs w:val="24"/>
        </w:rPr>
        <w:t xml:space="preserve"> </w:t>
      </w:r>
      <w:r w:rsidRPr="009C5D97">
        <w:rPr>
          <w:rFonts w:ascii="Times New Roman" w:hAnsi="Times New Roman"/>
          <w:color w:val="000000"/>
          <w:sz w:val="24"/>
          <w:szCs w:val="24"/>
        </w:rPr>
        <w:t>-</w:t>
      </w:r>
      <w:r>
        <w:rPr>
          <w:rFonts w:ascii="Times New Roman" w:hAnsi="Times New Roman"/>
          <w:color w:val="000000"/>
          <w:sz w:val="24"/>
          <w:szCs w:val="24"/>
        </w:rPr>
        <w:t xml:space="preserve"> </w:t>
      </w:r>
      <w:r w:rsidRPr="009C5D97">
        <w:rPr>
          <w:rFonts w:ascii="Times New Roman" w:hAnsi="Times New Roman"/>
          <w:color w:val="000000"/>
          <w:sz w:val="24"/>
          <w:szCs w:val="24"/>
        </w:rPr>
        <w:t>2025</w:t>
      </w:r>
      <w:r>
        <w:rPr>
          <w:rFonts w:ascii="Times New Roman" w:hAnsi="Times New Roman"/>
          <w:color w:val="000000"/>
          <w:sz w:val="24"/>
          <w:szCs w:val="24"/>
        </w:rPr>
        <w:t>)</w:t>
      </w:r>
      <w:r w:rsidRPr="009C5D97">
        <w:rPr>
          <w:rFonts w:ascii="Times New Roman" w:hAnsi="Times New Roman"/>
          <w:color w:val="000000"/>
          <w:sz w:val="24"/>
          <w:szCs w:val="24"/>
        </w:rPr>
        <w:t xml:space="preserve">. ДЗР продолжува да работи на </w:t>
      </w:r>
      <w:r>
        <w:rPr>
          <w:rFonts w:ascii="Times New Roman" w:hAnsi="Times New Roman"/>
          <w:color w:val="000000"/>
          <w:sz w:val="24"/>
          <w:szCs w:val="24"/>
        </w:rPr>
        <w:t>С</w:t>
      </w:r>
      <w:r w:rsidRPr="009C5D97">
        <w:rPr>
          <w:rFonts w:ascii="Times New Roman" w:hAnsi="Times New Roman"/>
          <w:color w:val="000000"/>
          <w:sz w:val="24"/>
          <w:szCs w:val="24"/>
        </w:rPr>
        <w:t xml:space="preserve">тратегијата за управување со човечки ресурси </w:t>
      </w:r>
      <w:r>
        <w:rPr>
          <w:rFonts w:ascii="Times New Roman" w:hAnsi="Times New Roman"/>
          <w:color w:val="000000"/>
          <w:sz w:val="24"/>
          <w:szCs w:val="24"/>
        </w:rPr>
        <w:t>(</w:t>
      </w:r>
      <w:r w:rsidRPr="009C5D97">
        <w:rPr>
          <w:rFonts w:ascii="Times New Roman" w:hAnsi="Times New Roman"/>
          <w:color w:val="000000"/>
          <w:sz w:val="24"/>
          <w:szCs w:val="24"/>
        </w:rPr>
        <w:t>2020</w:t>
      </w:r>
      <w:r>
        <w:rPr>
          <w:rFonts w:ascii="Times New Roman" w:hAnsi="Times New Roman"/>
          <w:color w:val="000000"/>
          <w:sz w:val="24"/>
          <w:szCs w:val="24"/>
        </w:rPr>
        <w:t xml:space="preserve"> - </w:t>
      </w:r>
      <w:r w:rsidRPr="009C5D97">
        <w:rPr>
          <w:rFonts w:ascii="Times New Roman" w:hAnsi="Times New Roman"/>
          <w:color w:val="000000"/>
          <w:sz w:val="24"/>
          <w:szCs w:val="24"/>
        </w:rPr>
        <w:t>2023</w:t>
      </w:r>
      <w:r>
        <w:rPr>
          <w:rFonts w:ascii="Times New Roman" w:hAnsi="Times New Roman"/>
          <w:color w:val="000000"/>
          <w:sz w:val="24"/>
          <w:szCs w:val="24"/>
        </w:rPr>
        <w:t>)</w:t>
      </w:r>
      <w:r w:rsidRPr="009C5D97">
        <w:rPr>
          <w:rFonts w:ascii="Times New Roman" w:hAnsi="Times New Roman"/>
          <w:color w:val="000000"/>
          <w:sz w:val="24"/>
          <w:szCs w:val="24"/>
        </w:rPr>
        <w:t xml:space="preserve">. </w:t>
      </w:r>
      <w:r>
        <w:rPr>
          <w:rFonts w:ascii="Times New Roman" w:hAnsi="Times New Roman"/>
          <w:color w:val="000000"/>
          <w:sz w:val="24"/>
          <w:szCs w:val="24"/>
        </w:rPr>
        <w:t>Во н</w:t>
      </w:r>
      <w:r w:rsidRPr="009C5D97">
        <w:rPr>
          <w:rFonts w:ascii="Times New Roman" w:hAnsi="Times New Roman"/>
          <w:color w:val="000000"/>
          <w:sz w:val="24"/>
          <w:szCs w:val="24"/>
        </w:rPr>
        <w:t>овиот акт за систематизација на ДЗР, донесен во декември 2022 година</w:t>
      </w:r>
      <w:r>
        <w:rPr>
          <w:rFonts w:ascii="Times New Roman" w:hAnsi="Times New Roman"/>
          <w:color w:val="000000"/>
          <w:sz w:val="24"/>
          <w:szCs w:val="24"/>
        </w:rPr>
        <w:t>,</w:t>
      </w:r>
      <w:r w:rsidR="00AF05B3">
        <w:rPr>
          <w:rFonts w:ascii="Times New Roman" w:hAnsi="Times New Roman"/>
          <w:color w:val="000000"/>
          <w:sz w:val="24"/>
          <w:szCs w:val="24"/>
        </w:rPr>
        <w:t xml:space="preserve"> </w:t>
      </w:r>
      <w:r w:rsidRPr="009C5D97">
        <w:rPr>
          <w:rFonts w:ascii="Times New Roman" w:hAnsi="Times New Roman"/>
          <w:color w:val="000000"/>
          <w:sz w:val="24"/>
          <w:szCs w:val="24"/>
        </w:rPr>
        <w:t>предвид</w:t>
      </w:r>
      <w:r>
        <w:rPr>
          <w:rFonts w:ascii="Times New Roman" w:hAnsi="Times New Roman"/>
          <w:color w:val="000000"/>
          <w:sz w:val="24"/>
          <w:szCs w:val="24"/>
        </w:rPr>
        <w:t>ени</w:t>
      </w:r>
      <w:r w:rsidR="00E45F9B">
        <w:rPr>
          <w:rFonts w:ascii="Times New Roman" w:hAnsi="Times New Roman"/>
          <w:color w:val="000000"/>
          <w:sz w:val="24"/>
          <w:szCs w:val="24"/>
        </w:rPr>
        <w:t xml:space="preserve"> се</w:t>
      </w:r>
      <w:r w:rsidRPr="009C5D97">
        <w:rPr>
          <w:rFonts w:ascii="Times New Roman" w:hAnsi="Times New Roman"/>
          <w:color w:val="000000"/>
          <w:sz w:val="24"/>
          <w:szCs w:val="24"/>
        </w:rPr>
        <w:t xml:space="preserve"> 245</w:t>
      </w:r>
      <w:r w:rsidRPr="009C5D97">
        <w:rPr>
          <w:rFonts w:ascii="Times New Roman" w:hAnsi="Times New Roman"/>
          <w:sz w:val="24"/>
          <w:szCs w:val="24"/>
        </w:rPr>
        <w:t xml:space="preserve"> </w:t>
      </w:r>
      <w:r w:rsidRPr="009C5D97">
        <w:rPr>
          <w:rFonts w:ascii="Times New Roman" w:hAnsi="Times New Roman"/>
          <w:color w:val="000000"/>
          <w:sz w:val="24"/>
          <w:szCs w:val="24"/>
        </w:rPr>
        <w:t>работни места од кои 114, односно 46</w:t>
      </w:r>
      <w:r>
        <w:rPr>
          <w:rFonts w:ascii="Times New Roman" w:hAnsi="Times New Roman"/>
          <w:color w:val="000000"/>
          <w:sz w:val="24"/>
          <w:szCs w:val="24"/>
        </w:rPr>
        <w:t xml:space="preserve"> </w:t>
      </w:r>
      <w:r w:rsidRPr="009C5D97">
        <w:rPr>
          <w:rFonts w:ascii="Times New Roman" w:hAnsi="Times New Roman"/>
          <w:color w:val="000000"/>
          <w:sz w:val="24"/>
          <w:szCs w:val="24"/>
        </w:rPr>
        <w:t>% се пополнети (104 ревизори, седум лица за административна поддршка и три лица што се технички персонал). Во 2022 година персоналот на ДЗР се зголеми</w:t>
      </w:r>
      <w:r>
        <w:rPr>
          <w:rFonts w:ascii="Times New Roman" w:hAnsi="Times New Roman"/>
          <w:color w:val="000000"/>
          <w:sz w:val="24"/>
          <w:szCs w:val="24"/>
        </w:rPr>
        <w:t>л</w:t>
      </w:r>
      <w:r w:rsidRPr="009C5D97">
        <w:rPr>
          <w:rFonts w:ascii="Times New Roman" w:hAnsi="Times New Roman"/>
          <w:color w:val="000000"/>
          <w:sz w:val="24"/>
          <w:szCs w:val="24"/>
        </w:rPr>
        <w:t xml:space="preserve"> за едно лице. </w:t>
      </w:r>
      <w:r w:rsidR="00E45F9B">
        <w:rPr>
          <w:rFonts w:ascii="Times New Roman" w:hAnsi="Times New Roman"/>
          <w:color w:val="000000"/>
          <w:sz w:val="24"/>
          <w:szCs w:val="24"/>
        </w:rPr>
        <w:t>Одобрен</w:t>
      </w:r>
      <w:r>
        <w:rPr>
          <w:rFonts w:ascii="Times New Roman" w:hAnsi="Times New Roman"/>
          <w:color w:val="000000"/>
          <w:sz w:val="24"/>
          <w:szCs w:val="24"/>
        </w:rPr>
        <w:t xml:space="preserve"> е б</w:t>
      </w:r>
      <w:r w:rsidRPr="009C5D97">
        <w:rPr>
          <w:rFonts w:ascii="Times New Roman" w:hAnsi="Times New Roman"/>
          <w:color w:val="000000"/>
          <w:sz w:val="24"/>
          <w:szCs w:val="24"/>
        </w:rPr>
        <w:t xml:space="preserve">уџетот на ДЗР за 2023 година и </w:t>
      </w:r>
      <w:r>
        <w:rPr>
          <w:rFonts w:ascii="Times New Roman" w:hAnsi="Times New Roman"/>
          <w:color w:val="000000"/>
          <w:sz w:val="24"/>
          <w:szCs w:val="24"/>
        </w:rPr>
        <w:t>тој</w:t>
      </w:r>
      <w:r w:rsidRPr="009C5D97">
        <w:rPr>
          <w:rFonts w:ascii="Times New Roman" w:hAnsi="Times New Roman"/>
          <w:color w:val="000000"/>
          <w:sz w:val="24"/>
          <w:szCs w:val="24"/>
        </w:rPr>
        <w:t xml:space="preserve"> продолж</w:t>
      </w:r>
      <w:r>
        <w:rPr>
          <w:rFonts w:ascii="Times New Roman" w:hAnsi="Times New Roman"/>
          <w:color w:val="000000"/>
          <w:sz w:val="24"/>
          <w:szCs w:val="24"/>
        </w:rPr>
        <w:t>ува</w:t>
      </w:r>
      <w:r w:rsidRPr="009C5D97">
        <w:rPr>
          <w:rFonts w:ascii="Times New Roman" w:hAnsi="Times New Roman"/>
          <w:color w:val="000000"/>
          <w:sz w:val="24"/>
          <w:szCs w:val="24"/>
        </w:rPr>
        <w:t xml:space="preserve"> да го спроведува годишниот план за професионален развој и обука на државните ревизори, да ја подигн</w:t>
      </w:r>
      <w:r>
        <w:rPr>
          <w:rFonts w:ascii="Times New Roman" w:hAnsi="Times New Roman"/>
          <w:color w:val="000000"/>
          <w:sz w:val="24"/>
          <w:szCs w:val="24"/>
        </w:rPr>
        <w:t>ува</w:t>
      </w:r>
      <w:r w:rsidRPr="009C5D97">
        <w:rPr>
          <w:rFonts w:ascii="Times New Roman" w:hAnsi="Times New Roman"/>
          <w:color w:val="000000"/>
          <w:sz w:val="24"/>
          <w:szCs w:val="24"/>
        </w:rPr>
        <w:t xml:space="preserve"> свеста за своите активности кај граѓаните и кај медиумите и да ја спроведува </w:t>
      </w:r>
      <w:r>
        <w:rPr>
          <w:rFonts w:ascii="Times New Roman" w:hAnsi="Times New Roman"/>
          <w:color w:val="000000"/>
          <w:sz w:val="24"/>
          <w:szCs w:val="24"/>
        </w:rPr>
        <w:t>С</w:t>
      </w:r>
      <w:r w:rsidRPr="009C5D97">
        <w:rPr>
          <w:rFonts w:ascii="Times New Roman" w:hAnsi="Times New Roman"/>
          <w:color w:val="000000"/>
          <w:sz w:val="24"/>
          <w:szCs w:val="24"/>
        </w:rPr>
        <w:t xml:space="preserve">тратегијата за комуникација </w:t>
      </w:r>
      <w:r>
        <w:rPr>
          <w:rFonts w:ascii="Times New Roman" w:hAnsi="Times New Roman"/>
          <w:color w:val="000000"/>
          <w:sz w:val="24"/>
          <w:szCs w:val="24"/>
        </w:rPr>
        <w:t>(</w:t>
      </w:r>
      <w:r w:rsidRPr="009C5D97">
        <w:rPr>
          <w:rFonts w:ascii="Times New Roman" w:hAnsi="Times New Roman"/>
          <w:color w:val="000000"/>
          <w:sz w:val="24"/>
          <w:szCs w:val="24"/>
        </w:rPr>
        <w:t>2020</w:t>
      </w:r>
      <w:r>
        <w:rPr>
          <w:rFonts w:ascii="Times New Roman" w:hAnsi="Times New Roman"/>
          <w:color w:val="000000"/>
          <w:sz w:val="24"/>
          <w:szCs w:val="24"/>
        </w:rPr>
        <w:t xml:space="preserve"> – </w:t>
      </w:r>
      <w:r w:rsidRPr="009C5D97">
        <w:rPr>
          <w:rFonts w:ascii="Times New Roman" w:hAnsi="Times New Roman"/>
          <w:color w:val="000000"/>
          <w:sz w:val="24"/>
          <w:szCs w:val="24"/>
        </w:rPr>
        <w:t>2023</w:t>
      </w:r>
      <w:r>
        <w:rPr>
          <w:rFonts w:ascii="Times New Roman" w:hAnsi="Times New Roman"/>
          <w:color w:val="000000"/>
          <w:sz w:val="24"/>
          <w:szCs w:val="24"/>
        </w:rPr>
        <w:t>)</w:t>
      </w:r>
      <w:r w:rsidRPr="009C5D97">
        <w:rPr>
          <w:rFonts w:ascii="Times New Roman" w:hAnsi="Times New Roman"/>
          <w:color w:val="000000"/>
          <w:sz w:val="24"/>
          <w:szCs w:val="24"/>
        </w:rPr>
        <w:t>.</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 xml:space="preserve">Во однос на </w:t>
      </w:r>
      <w:r w:rsidRPr="009C5D97">
        <w:rPr>
          <w:rFonts w:ascii="Times New Roman" w:hAnsi="Times New Roman"/>
          <w:b/>
          <w:bCs/>
          <w:color w:val="000000"/>
          <w:sz w:val="24"/>
          <w:szCs w:val="24"/>
        </w:rPr>
        <w:t>влијанието на ревизорската работа</w:t>
      </w:r>
      <w:r w:rsidRPr="009C5D97">
        <w:rPr>
          <w:rFonts w:ascii="Times New Roman" w:hAnsi="Times New Roman"/>
          <w:color w:val="000000"/>
          <w:sz w:val="24"/>
          <w:szCs w:val="24"/>
        </w:rPr>
        <w:t xml:space="preserve">, во 2022 година беа преземени </w:t>
      </w:r>
      <w:r>
        <w:rPr>
          <w:rFonts w:ascii="Times New Roman" w:hAnsi="Times New Roman"/>
          <w:color w:val="000000"/>
          <w:sz w:val="24"/>
          <w:szCs w:val="24"/>
        </w:rPr>
        <w:t>одредени</w:t>
      </w:r>
      <w:r w:rsidRPr="009C5D97">
        <w:rPr>
          <w:rFonts w:ascii="Times New Roman" w:hAnsi="Times New Roman"/>
          <w:color w:val="000000"/>
          <w:sz w:val="24"/>
          <w:szCs w:val="24"/>
        </w:rPr>
        <w:t xml:space="preserve"> активности како одговор на 80</w:t>
      </w:r>
      <w:r>
        <w:rPr>
          <w:rFonts w:ascii="Times New Roman" w:hAnsi="Times New Roman"/>
          <w:color w:val="000000"/>
          <w:sz w:val="24"/>
          <w:szCs w:val="24"/>
        </w:rPr>
        <w:t xml:space="preserve"> </w:t>
      </w:r>
      <w:r w:rsidRPr="009C5D97">
        <w:rPr>
          <w:rFonts w:ascii="Times New Roman" w:hAnsi="Times New Roman"/>
          <w:color w:val="000000"/>
          <w:sz w:val="24"/>
          <w:szCs w:val="24"/>
        </w:rPr>
        <w:t>% од ревизорските препораки. Соработката меѓу ДЗР и Собранието продолжува да се подобрува и во октомври 2022 година двете институции потпишаа меморандум за разбирање. Покрај тоа, собранискиот надзор врз подготовката и спроведувањето на буџетот треба дополнително да се зајакн</w:t>
      </w:r>
      <w:r>
        <w:rPr>
          <w:rFonts w:ascii="Times New Roman" w:hAnsi="Times New Roman"/>
          <w:color w:val="000000"/>
          <w:sz w:val="24"/>
          <w:szCs w:val="24"/>
        </w:rPr>
        <w:t>е</w:t>
      </w:r>
      <w:r w:rsidRPr="009C5D97">
        <w:rPr>
          <w:rFonts w:ascii="Times New Roman" w:hAnsi="Times New Roman"/>
          <w:color w:val="000000"/>
          <w:sz w:val="24"/>
          <w:szCs w:val="24"/>
        </w:rPr>
        <w:t xml:space="preserve">. Транспарентноста и отчетноста во управувањето со јавните финансии </w:t>
      </w:r>
      <w:r>
        <w:rPr>
          <w:rFonts w:ascii="Times New Roman" w:hAnsi="Times New Roman"/>
          <w:color w:val="000000"/>
          <w:sz w:val="24"/>
          <w:szCs w:val="24"/>
        </w:rPr>
        <w:t xml:space="preserve">исто така </w:t>
      </w:r>
      <w:r w:rsidRPr="009C5D97">
        <w:rPr>
          <w:rFonts w:ascii="Times New Roman" w:hAnsi="Times New Roman"/>
          <w:color w:val="000000"/>
          <w:sz w:val="24"/>
          <w:szCs w:val="24"/>
        </w:rPr>
        <w:t xml:space="preserve">треба да се зајакнат. За тоа ќе бидат </w:t>
      </w:r>
      <w:r>
        <w:rPr>
          <w:rFonts w:ascii="Times New Roman" w:hAnsi="Times New Roman"/>
          <w:color w:val="000000"/>
          <w:sz w:val="24"/>
          <w:szCs w:val="24"/>
        </w:rPr>
        <w:t>неопходни</w:t>
      </w:r>
      <w:r w:rsidRPr="009C5D97">
        <w:rPr>
          <w:rFonts w:ascii="Times New Roman" w:hAnsi="Times New Roman"/>
          <w:color w:val="000000"/>
          <w:sz w:val="24"/>
          <w:szCs w:val="24"/>
        </w:rPr>
        <w:t xml:space="preserve"> ефикасни механизми за следење од извршната власт и од Собранието</w:t>
      </w:r>
      <w:r>
        <w:rPr>
          <w:rFonts w:ascii="Times New Roman" w:hAnsi="Times New Roman"/>
          <w:color w:val="000000"/>
          <w:sz w:val="24"/>
          <w:szCs w:val="24"/>
        </w:rPr>
        <w:t>, како</w:t>
      </w:r>
      <w:r w:rsidRPr="009C5D97">
        <w:rPr>
          <w:rFonts w:ascii="Times New Roman" w:hAnsi="Times New Roman"/>
          <w:color w:val="000000"/>
          <w:sz w:val="24"/>
          <w:szCs w:val="24"/>
        </w:rPr>
        <w:t xml:space="preserve"> и ефективно спроведување на ревизорските препораки.</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За да се борат против корупцијата, институциите на ЈВФК и ДЗР треба да ја зајакнат соработката со антикорупциските институции/</w:t>
      </w:r>
      <w:r>
        <w:rPr>
          <w:rFonts w:ascii="Times New Roman" w:hAnsi="Times New Roman"/>
          <w:color w:val="000000"/>
          <w:sz w:val="24"/>
          <w:szCs w:val="24"/>
        </w:rPr>
        <w:t xml:space="preserve"> со </w:t>
      </w:r>
      <w:r w:rsidRPr="009C5D97">
        <w:rPr>
          <w:rFonts w:ascii="Times New Roman" w:hAnsi="Times New Roman"/>
          <w:color w:val="000000"/>
          <w:sz w:val="24"/>
          <w:szCs w:val="24"/>
        </w:rPr>
        <w:t xml:space="preserve">институциите за спроведување на законот. Понатаму, системите за следење треба да се зајакнат и треба да се развијат механизми за следење на бројот </w:t>
      </w:r>
      <w:r>
        <w:rPr>
          <w:rFonts w:ascii="Times New Roman" w:hAnsi="Times New Roman"/>
          <w:color w:val="000000"/>
          <w:sz w:val="24"/>
          <w:szCs w:val="24"/>
        </w:rPr>
        <w:t xml:space="preserve">на </w:t>
      </w:r>
      <w:r w:rsidRPr="009C5D97">
        <w:rPr>
          <w:rFonts w:ascii="Times New Roman" w:hAnsi="Times New Roman"/>
          <w:color w:val="000000"/>
          <w:sz w:val="24"/>
          <w:szCs w:val="24"/>
        </w:rPr>
        <w:t>случаи</w:t>
      </w:r>
      <w:r>
        <w:rPr>
          <w:rFonts w:ascii="Times New Roman" w:hAnsi="Times New Roman"/>
          <w:color w:val="000000"/>
          <w:sz w:val="24"/>
          <w:szCs w:val="24"/>
        </w:rPr>
        <w:t>те</w:t>
      </w:r>
      <w:r w:rsidRPr="009C5D97">
        <w:rPr>
          <w:rFonts w:ascii="Times New Roman" w:hAnsi="Times New Roman"/>
          <w:color w:val="000000"/>
          <w:sz w:val="24"/>
          <w:szCs w:val="24"/>
        </w:rPr>
        <w:t xml:space="preserve"> под истрага, гонети и предмет на решавање на суд како резултат на внатрешни ревизии или инспекции.</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color w:val="000000"/>
          <w:sz w:val="24"/>
          <w:szCs w:val="24"/>
          <w:u w:val="single"/>
        </w:rPr>
        <w:t>Заштита на финансиските интереси на ЕУ</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В</w:t>
      </w:r>
      <w:r w:rsidRPr="009C5D97">
        <w:rPr>
          <w:rFonts w:ascii="Times New Roman" w:hAnsi="Times New Roman"/>
          <w:color w:val="000000"/>
          <w:sz w:val="24"/>
          <w:szCs w:val="24"/>
        </w:rPr>
        <w:t xml:space="preserve">о 2022 година постигнат </w:t>
      </w:r>
      <w:r>
        <w:rPr>
          <w:rFonts w:ascii="Times New Roman" w:hAnsi="Times New Roman"/>
          <w:color w:val="000000"/>
          <w:sz w:val="24"/>
          <w:szCs w:val="24"/>
        </w:rPr>
        <w:t>е о</w:t>
      </w:r>
      <w:r w:rsidRPr="009C5D97">
        <w:rPr>
          <w:rFonts w:ascii="Times New Roman" w:hAnsi="Times New Roman"/>
          <w:color w:val="000000"/>
          <w:sz w:val="24"/>
          <w:szCs w:val="24"/>
        </w:rPr>
        <w:t xml:space="preserve">дреден напредок за заштита на финансиските интереси на ЕУ. Законската основа за формално воспоставување рамка за заштита на финансиските интереси на ЕУ (АФКОС) </w:t>
      </w:r>
      <w:r>
        <w:rPr>
          <w:rFonts w:ascii="Times New Roman" w:hAnsi="Times New Roman"/>
          <w:color w:val="000000"/>
          <w:sz w:val="24"/>
          <w:szCs w:val="24"/>
        </w:rPr>
        <w:t>е</w:t>
      </w:r>
      <w:r w:rsidRPr="009C5D97">
        <w:rPr>
          <w:rFonts w:ascii="Times New Roman" w:hAnsi="Times New Roman"/>
          <w:color w:val="000000"/>
          <w:sz w:val="24"/>
          <w:szCs w:val="24"/>
        </w:rPr>
        <w:t xml:space="preserve"> донесена во декември 2022 година и персоналот на АФКОС </w:t>
      </w:r>
      <w:r>
        <w:rPr>
          <w:rFonts w:ascii="Times New Roman" w:hAnsi="Times New Roman"/>
          <w:color w:val="000000"/>
          <w:sz w:val="24"/>
          <w:szCs w:val="24"/>
        </w:rPr>
        <w:t>се</w:t>
      </w:r>
      <w:r w:rsidRPr="009C5D97">
        <w:rPr>
          <w:rFonts w:ascii="Times New Roman" w:hAnsi="Times New Roman"/>
          <w:color w:val="000000"/>
          <w:sz w:val="24"/>
          <w:szCs w:val="24"/>
        </w:rPr>
        <w:t xml:space="preserve"> </w:t>
      </w:r>
      <w:r>
        <w:rPr>
          <w:rFonts w:ascii="Times New Roman" w:hAnsi="Times New Roman"/>
          <w:color w:val="000000"/>
          <w:sz w:val="24"/>
          <w:szCs w:val="24"/>
        </w:rPr>
        <w:t>зголеми</w:t>
      </w:r>
      <w:r w:rsidRPr="009C5D97">
        <w:rPr>
          <w:rFonts w:ascii="Times New Roman" w:hAnsi="Times New Roman"/>
          <w:color w:val="000000"/>
          <w:sz w:val="24"/>
          <w:szCs w:val="24"/>
        </w:rPr>
        <w:t xml:space="preserve"> на пет вработени. Националното законодавство во голема мера </w:t>
      </w:r>
      <w:r>
        <w:rPr>
          <w:rFonts w:ascii="Times New Roman" w:hAnsi="Times New Roman"/>
          <w:color w:val="000000"/>
          <w:sz w:val="24"/>
          <w:szCs w:val="24"/>
        </w:rPr>
        <w:t xml:space="preserve">е </w:t>
      </w:r>
      <w:r w:rsidRPr="009C5D97">
        <w:rPr>
          <w:rFonts w:ascii="Times New Roman" w:hAnsi="Times New Roman"/>
          <w:color w:val="000000"/>
          <w:sz w:val="24"/>
          <w:szCs w:val="24"/>
        </w:rPr>
        <w:t xml:space="preserve">усогласено со Директивата на ЕУ за борба против измама во врска со финансиските интереси на Унијата со примена на кривичното право. </w:t>
      </w:r>
      <w:r>
        <w:rPr>
          <w:rFonts w:ascii="Times New Roman" w:hAnsi="Times New Roman"/>
          <w:color w:val="000000"/>
          <w:sz w:val="24"/>
          <w:szCs w:val="24"/>
        </w:rPr>
        <w:t>В</w:t>
      </w:r>
      <w:r w:rsidRPr="009C5D97">
        <w:rPr>
          <w:rFonts w:ascii="Times New Roman" w:hAnsi="Times New Roman"/>
          <w:color w:val="000000"/>
          <w:sz w:val="24"/>
          <w:szCs w:val="24"/>
        </w:rPr>
        <w:t xml:space="preserve">о февруари 2023 година Собранието </w:t>
      </w:r>
      <w:r>
        <w:rPr>
          <w:rFonts w:ascii="Times New Roman" w:hAnsi="Times New Roman"/>
          <w:color w:val="000000"/>
          <w:sz w:val="24"/>
          <w:szCs w:val="24"/>
        </w:rPr>
        <w:t>ги</w:t>
      </w:r>
      <w:r w:rsidRPr="009C5D97">
        <w:rPr>
          <w:rFonts w:ascii="Times New Roman" w:hAnsi="Times New Roman"/>
          <w:color w:val="000000"/>
          <w:sz w:val="24"/>
          <w:szCs w:val="24"/>
        </w:rPr>
        <w:t xml:space="preserve"> дон</w:t>
      </w:r>
      <w:r>
        <w:rPr>
          <w:rFonts w:ascii="Times New Roman" w:hAnsi="Times New Roman"/>
          <w:color w:val="000000"/>
          <w:sz w:val="24"/>
          <w:szCs w:val="24"/>
        </w:rPr>
        <w:t>ело и</w:t>
      </w:r>
      <w:r w:rsidRPr="009C5D97">
        <w:rPr>
          <w:rFonts w:ascii="Times New Roman" w:hAnsi="Times New Roman"/>
          <w:color w:val="000000"/>
          <w:sz w:val="24"/>
          <w:szCs w:val="24"/>
        </w:rPr>
        <w:t>змените на Кривичниот законик за дополнително усогласување со правото на ЕУ</w:t>
      </w:r>
      <w:r>
        <w:rPr>
          <w:rFonts w:ascii="Times New Roman" w:hAnsi="Times New Roman"/>
          <w:color w:val="000000"/>
          <w:sz w:val="24"/>
          <w:szCs w:val="24"/>
        </w:rPr>
        <w:t>.</w:t>
      </w:r>
      <w:r w:rsidRPr="009C5D97">
        <w:rPr>
          <w:rFonts w:ascii="Times New Roman" w:hAnsi="Times New Roman"/>
          <w:color w:val="000000"/>
          <w:sz w:val="24"/>
          <w:szCs w:val="24"/>
        </w:rPr>
        <w:t xml:space="preserve"> Во јуни 2022 година Владата доне</w:t>
      </w:r>
      <w:r>
        <w:rPr>
          <w:rFonts w:ascii="Times New Roman" w:hAnsi="Times New Roman"/>
          <w:color w:val="000000"/>
          <w:sz w:val="24"/>
          <w:szCs w:val="24"/>
        </w:rPr>
        <w:t>ла</w:t>
      </w:r>
      <w:r w:rsidRPr="009C5D97">
        <w:rPr>
          <w:rFonts w:ascii="Times New Roman" w:hAnsi="Times New Roman"/>
          <w:color w:val="000000"/>
          <w:sz w:val="24"/>
          <w:szCs w:val="24"/>
        </w:rPr>
        <w:t xml:space="preserve"> Национална стратегија за борба против измами за </w:t>
      </w:r>
      <w:r>
        <w:rPr>
          <w:rFonts w:ascii="Times New Roman" w:hAnsi="Times New Roman"/>
          <w:color w:val="000000"/>
          <w:sz w:val="24"/>
          <w:szCs w:val="24"/>
        </w:rPr>
        <w:t xml:space="preserve">периодот </w:t>
      </w:r>
      <w:r w:rsidRPr="009C5D97">
        <w:rPr>
          <w:rFonts w:ascii="Times New Roman" w:hAnsi="Times New Roman"/>
          <w:color w:val="000000"/>
          <w:sz w:val="24"/>
          <w:szCs w:val="24"/>
        </w:rPr>
        <w:t>2022</w:t>
      </w:r>
      <w:r>
        <w:rPr>
          <w:rFonts w:ascii="Times New Roman" w:hAnsi="Times New Roman"/>
          <w:color w:val="000000"/>
          <w:sz w:val="24"/>
          <w:szCs w:val="24"/>
        </w:rPr>
        <w:t xml:space="preserve"> </w:t>
      </w:r>
      <w:r w:rsidRPr="009C5D97">
        <w:rPr>
          <w:rFonts w:ascii="Times New Roman" w:hAnsi="Times New Roman"/>
          <w:color w:val="000000"/>
          <w:sz w:val="24"/>
          <w:szCs w:val="24"/>
        </w:rPr>
        <w:t>-</w:t>
      </w:r>
      <w:r>
        <w:rPr>
          <w:rFonts w:ascii="Times New Roman" w:hAnsi="Times New Roman"/>
          <w:color w:val="000000"/>
          <w:sz w:val="24"/>
          <w:szCs w:val="24"/>
        </w:rPr>
        <w:t xml:space="preserve"> </w:t>
      </w:r>
      <w:r w:rsidRPr="009C5D97">
        <w:rPr>
          <w:rFonts w:ascii="Times New Roman" w:hAnsi="Times New Roman"/>
          <w:color w:val="000000"/>
          <w:sz w:val="24"/>
          <w:szCs w:val="24"/>
        </w:rPr>
        <w:t xml:space="preserve">2025 година и </w:t>
      </w:r>
      <w:r w:rsidRPr="00382B0A">
        <w:rPr>
          <w:rFonts w:ascii="Times New Roman" w:hAnsi="Times New Roman"/>
          <w:color w:val="000000"/>
          <w:sz w:val="24"/>
          <w:szCs w:val="24"/>
        </w:rPr>
        <w:t>поврзаниот</w:t>
      </w:r>
      <w:r w:rsidRPr="009C5D97">
        <w:rPr>
          <w:rFonts w:ascii="Times New Roman" w:hAnsi="Times New Roman"/>
          <w:color w:val="000000"/>
          <w:sz w:val="24"/>
          <w:szCs w:val="24"/>
        </w:rPr>
        <w:t xml:space="preserve"> акциски план. Преку системот за управување со неправилности националните органи пријавиле 85 случаи на неправилности во 2022 година, од кои еден случај беше пријавен како сомневање за измама. Ова е дополнителна </w:t>
      </w:r>
      <w:r w:rsidRPr="00382B0A">
        <w:rPr>
          <w:rFonts w:ascii="Times New Roman" w:hAnsi="Times New Roman"/>
          <w:color w:val="000000"/>
          <w:sz w:val="24"/>
          <w:szCs w:val="24"/>
        </w:rPr>
        <w:t>консолидација на трендот</w:t>
      </w:r>
      <w:r w:rsidRPr="009C5D97">
        <w:rPr>
          <w:rFonts w:ascii="Times New Roman" w:hAnsi="Times New Roman"/>
          <w:color w:val="000000"/>
          <w:sz w:val="24"/>
          <w:szCs w:val="24"/>
        </w:rPr>
        <w:t xml:space="preserve"> за известување од последните четири години што е значително подобрен во споредба со претходните години. Националните органи треба да ја продолжат добрата соработка со Европската комисија во областа на истрагите.</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color w:val="000000"/>
          <w:sz w:val="24"/>
          <w:szCs w:val="24"/>
          <w:u w:val="single"/>
        </w:rPr>
        <w:t xml:space="preserve">Заштита од фалсификување на еврото </w:t>
      </w:r>
    </w:p>
    <w:p w:rsidR="009768C4" w:rsidRPr="009C5D97" w:rsidRDefault="009768C4" w:rsidP="00A661C4">
      <w:pPr>
        <w:shd w:val="clear" w:color="auto" w:fill="FFFFFF"/>
        <w:spacing w:before="120" w:after="120" w:line="240" w:lineRule="auto"/>
        <w:jc w:val="both"/>
        <w:rPr>
          <w:rFonts w:ascii="Times New Roman" w:hAnsi="Times New Roman"/>
          <w:sz w:val="24"/>
          <w:szCs w:val="24"/>
        </w:rPr>
      </w:pPr>
      <w:r w:rsidRPr="009C5D97">
        <w:rPr>
          <w:rFonts w:ascii="Times New Roman" w:hAnsi="Times New Roman"/>
          <w:color w:val="000000"/>
          <w:sz w:val="24"/>
          <w:szCs w:val="24"/>
        </w:rPr>
        <w:t xml:space="preserve">Во однос на усогласувањето со правото на ЕУ, националното законодавство до одреден степен е усогласено со регулативите на ЕУ со кои се воспоставува систем за борба против фалсификување на еврото. </w:t>
      </w:r>
      <w:r>
        <w:rPr>
          <w:rFonts w:ascii="Times New Roman" w:hAnsi="Times New Roman"/>
          <w:color w:val="000000"/>
          <w:sz w:val="24"/>
          <w:szCs w:val="24"/>
        </w:rPr>
        <w:t>Постигнат е ограничен н</w:t>
      </w:r>
      <w:r w:rsidRPr="009C5D97">
        <w:rPr>
          <w:rFonts w:ascii="Times New Roman" w:hAnsi="Times New Roman"/>
          <w:color w:val="000000"/>
          <w:sz w:val="24"/>
          <w:szCs w:val="24"/>
        </w:rPr>
        <w:t xml:space="preserve">апредок во </w:t>
      </w:r>
      <w:r>
        <w:rPr>
          <w:rFonts w:ascii="Times New Roman" w:hAnsi="Times New Roman"/>
          <w:color w:val="000000"/>
          <w:sz w:val="24"/>
          <w:szCs w:val="24"/>
        </w:rPr>
        <w:t xml:space="preserve">извештајниот </w:t>
      </w:r>
      <w:r w:rsidRPr="009C5D97">
        <w:rPr>
          <w:rFonts w:ascii="Times New Roman" w:hAnsi="Times New Roman"/>
          <w:color w:val="000000"/>
          <w:sz w:val="24"/>
          <w:szCs w:val="24"/>
        </w:rPr>
        <w:t>период. Народната банка продолжи да го подобрува својот капацитет преку онлајн обуки и ангажирање струч</w:t>
      </w:r>
      <w:r>
        <w:rPr>
          <w:rFonts w:ascii="Times New Roman" w:hAnsi="Times New Roman"/>
          <w:color w:val="000000"/>
          <w:sz w:val="24"/>
          <w:szCs w:val="24"/>
        </w:rPr>
        <w:t>ни лица</w:t>
      </w:r>
      <w:r w:rsidRPr="009C5D97">
        <w:rPr>
          <w:rFonts w:ascii="Times New Roman" w:hAnsi="Times New Roman"/>
          <w:color w:val="000000"/>
          <w:sz w:val="24"/>
          <w:szCs w:val="24"/>
        </w:rPr>
        <w:t xml:space="preserve"> од сите клучни институции во градењето на капацитетите.</w:t>
      </w:r>
    </w:p>
    <w:p w:rsidR="009768C4" w:rsidRDefault="009768C4" w:rsidP="00A661C4">
      <w:pPr>
        <w:shd w:val="clear" w:color="auto" w:fill="FFFFFF"/>
        <w:spacing w:before="120" w:after="120" w:line="240" w:lineRule="auto"/>
        <w:jc w:val="both"/>
        <w:rPr>
          <w:rFonts w:ascii="Times New Roman" w:hAnsi="Times New Roman"/>
          <w:color w:val="000000"/>
          <w:sz w:val="24"/>
          <w:szCs w:val="24"/>
        </w:rPr>
      </w:pPr>
      <w:bookmarkStart w:id="42" w:name="bookmark32"/>
      <w:r w:rsidRPr="009C5D97">
        <w:rPr>
          <w:rFonts w:ascii="Times New Roman" w:hAnsi="Times New Roman"/>
          <w:color w:val="000000"/>
          <w:sz w:val="24"/>
          <w:szCs w:val="24"/>
        </w:rPr>
        <w:t>Ка</w:t>
      </w:r>
      <w:bookmarkEnd w:id="42"/>
      <w:r w:rsidRPr="009C5D97">
        <w:rPr>
          <w:rFonts w:ascii="Times New Roman" w:hAnsi="Times New Roman"/>
          <w:color w:val="000000"/>
          <w:sz w:val="24"/>
          <w:szCs w:val="24"/>
        </w:rPr>
        <w:t xml:space="preserve">пацитетот на Министерството за внатрешни работи за спречување, откривање и истражување кривични дела поврзани со фалсификување пари </w:t>
      </w:r>
      <w:r>
        <w:rPr>
          <w:rFonts w:ascii="Times New Roman" w:hAnsi="Times New Roman"/>
          <w:color w:val="000000"/>
          <w:sz w:val="24"/>
          <w:szCs w:val="24"/>
        </w:rPr>
        <w:t>и понатаму е</w:t>
      </w:r>
      <w:r w:rsidRPr="009C5D97">
        <w:rPr>
          <w:rFonts w:ascii="Times New Roman" w:hAnsi="Times New Roman"/>
          <w:color w:val="000000"/>
          <w:sz w:val="24"/>
          <w:szCs w:val="24"/>
        </w:rPr>
        <w:t xml:space="preserve"> ограничен. Сè уште не е воспоставен електронски систем за размена, обработка, анализа и пријавување случаи.</w:t>
      </w:r>
    </w:p>
    <w:p w:rsidR="00B76D43" w:rsidRPr="00A84F18" w:rsidRDefault="00B76D43" w:rsidP="008D6AE4">
      <w:pPr>
        <w:pStyle w:val="Heading1"/>
      </w:pPr>
      <w:bookmarkStart w:id="43" w:name="_Toc150411738"/>
      <w:r w:rsidRPr="00A84F18">
        <w:t>3.</w:t>
      </w:r>
      <w:r w:rsidRPr="00A84F18">
        <w:tab/>
        <w:t>ДОБРОСОСЕДСКИ ОДНОСИ И РЕГИОНАЛНА СОРАБОТКА</w:t>
      </w:r>
      <w:bookmarkEnd w:id="43"/>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b/>
          <w:bCs/>
          <w:color w:val="000000"/>
          <w:sz w:val="24"/>
          <w:szCs w:val="24"/>
        </w:rPr>
        <w:t xml:space="preserve">Добрососедските односи и регионалната соработка </w:t>
      </w:r>
      <w:r w:rsidRPr="00A84F18">
        <w:rPr>
          <w:rFonts w:ascii="Times New Roman" w:hAnsi="Times New Roman"/>
          <w:color w:val="000000"/>
          <w:sz w:val="24"/>
          <w:szCs w:val="24"/>
        </w:rPr>
        <w:t>се суштински дел од процесот на европска интеграција на Северна Македонија. Тие придонесуваат за стабилност, помирување и клима што е погодна за конструктивно решавање на отворените билатерални прашања и на наследствата од минатото.</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Северна Македонија продолжи да учествува во голем број регионални иницијативи, </w:t>
      </w:r>
      <w:r>
        <w:rPr>
          <w:rFonts w:ascii="Times New Roman" w:hAnsi="Times New Roman"/>
          <w:color w:val="000000"/>
          <w:sz w:val="24"/>
          <w:szCs w:val="24"/>
        </w:rPr>
        <w:t>какви</w:t>
      </w:r>
      <w:r w:rsidRPr="00A84F18">
        <w:rPr>
          <w:rFonts w:ascii="Times New Roman" w:hAnsi="Times New Roman"/>
          <w:color w:val="000000"/>
          <w:sz w:val="24"/>
          <w:szCs w:val="24"/>
        </w:rPr>
        <w:t xml:space="preserve"> што се Централноевропскиот договор за слободна трговија (ЦЕФТА), Енергетската заедница, Транспортната заедница, Процесот на соработка во Југоисточна Европа (ПСЈИЕ) и Советот за регионална соработка. Исто така, Северна Македонија активно учествуваше во иницијативи </w:t>
      </w:r>
      <w:r>
        <w:rPr>
          <w:rFonts w:ascii="Times New Roman" w:hAnsi="Times New Roman"/>
          <w:color w:val="000000"/>
          <w:sz w:val="24"/>
          <w:szCs w:val="24"/>
        </w:rPr>
        <w:t>какви</w:t>
      </w:r>
      <w:r w:rsidRPr="00A84F18">
        <w:rPr>
          <w:rFonts w:ascii="Times New Roman" w:hAnsi="Times New Roman"/>
          <w:color w:val="000000"/>
          <w:sz w:val="24"/>
          <w:szCs w:val="24"/>
        </w:rPr>
        <w:t xml:space="preserve"> што се Централноевропската иницијатива и Центарот за безбедносна соработка.</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Самитот </w:t>
      </w:r>
      <w:r w:rsidRPr="00A84F18">
        <w:rPr>
          <w:rFonts w:ascii="Times New Roman" w:hAnsi="Times New Roman"/>
          <w:b/>
          <w:bCs/>
          <w:color w:val="000000"/>
          <w:sz w:val="24"/>
          <w:szCs w:val="24"/>
        </w:rPr>
        <w:t xml:space="preserve">ЕУ-Западен Балкан </w:t>
      </w:r>
      <w:r w:rsidRPr="00A84F18">
        <w:rPr>
          <w:rFonts w:ascii="Times New Roman" w:hAnsi="Times New Roman"/>
          <w:color w:val="000000"/>
          <w:sz w:val="24"/>
          <w:szCs w:val="24"/>
        </w:rPr>
        <w:t>во декември 2022 година за првпат се одржа во регионот, и тоа во Тирана. Самитот се фокусираше на поддршката на регионот во областите на енергетика и миграции, како и на младинска соработка, роаминг, зелени коридори и на целокупниот напредок во спроведувањето на Економскиот и инвестициски план.</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Во однос на </w:t>
      </w:r>
      <w:r w:rsidRPr="00A84F18">
        <w:rPr>
          <w:rFonts w:ascii="Times New Roman" w:hAnsi="Times New Roman"/>
          <w:b/>
          <w:bCs/>
          <w:color w:val="000000"/>
          <w:sz w:val="24"/>
          <w:szCs w:val="24"/>
        </w:rPr>
        <w:t>Заедничкиот регионален пазар</w:t>
      </w:r>
      <w:r w:rsidRPr="00A84F18">
        <w:rPr>
          <w:rFonts w:ascii="Times New Roman" w:hAnsi="Times New Roman"/>
          <w:color w:val="000000"/>
          <w:sz w:val="24"/>
          <w:szCs w:val="24"/>
        </w:rPr>
        <w:t xml:space="preserve"> </w:t>
      </w:r>
      <w:r>
        <w:rPr>
          <w:rFonts w:ascii="Times New Roman" w:hAnsi="Times New Roman"/>
          <w:color w:val="000000"/>
          <w:sz w:val="24"/>
          <w:szCs w:val="24"/>
        </w:rPr>
        <w:t xml:space="preserve">е </w:t>
      </w:r>
      <w:r w:rsidRPr="00A84F18">
        <w:rPr>
          <w:rFonts w:ascii="Times New Roman" w:hAnsi="Times New Roman"/>
          <w:color w:val="000000"/>
          <w:sz w:val="24"/>
          <w:szCs w:val="24"/>
        </w:rPr>
        <w:t>постигнат голем политички напредок на Самитот на Берлинскиот процес во Берлин во ноември 2022 г., на кој лидерите потпишаа три договори за мобилност, и тоа за високообразовни квалификации, професионални квалификации и слободно движење со лични карти. Северна Македонија ги ратификува сите три договори за мобилност и ги депонира поврзаните инструменти за известување. Голем број важни одлуки што беа договорени на техничко ниво во рамките на ЦЕФТА остануваат блокирани.</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Севкупно, соработката и </w:t>
      </w:r>
      <w:r w:rsidRPr="00A84F18">
        <w:rPr>
          <w:rFonts w:ascii="Times New Roman" w:hAnsi="Times New Roman"/>
          <w:b/>
          <w:bCs/>
          <w:color w:val="000000"/>
          <w:sz w:val="24"/>
          <w:szCs w:val="24"/>
        </w:rPr>
        <w:t xml:space="preserve">билатералните односи </w:t>
      </w:r>
      <w:r w:rsidRPr="00A84F18">
        <w:rPr>
          <w:rFonts w:ascii="Times New Roman" w:hAnsi="Times New Roman"/>
          <w:color w:val="000000"/>
          <w:sz w:val="24"/>
          <w:szCs w:val="24"/>
        </w:rPr>
        <w:t>на земјата со други земји што се дел од процесот на проширување и со соседните земји членки на ЕУ</w:t>
      </w:r>
      <w:r>
        <w:rPr>
          <w:rFonts w:ascii="Times New Roman" w:hAnsi="Times New Roman"/>
          <w:color w:val="000000"/>
          <w:sz w:val="24"/>
          <w:szCs w:val="24"/>
        </w:rPr>
        <w:t>,</w:t>
      </w:r>
      <w:r w:rsidRPr="00A84F18">
        <w:rPr>
          <w:rFonts w:ascii="Times New Roman" w:hAnsi="Times New Roman"/>
          <w:color w:val="000000"/>
          <w:sz w:val="24"/>
          <w:szCs w:val="24"/>
        </w:rPr>
        <w:t xml:space="preserve"> продолжува да се развива во позитивна насока.</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Билатералните односи со </w:t>
      </w:r>
      <w:r w:rsidRPr="00A84F18">
        <w:rPr>
          <w:rFonts w:ascii="Times New Roman" w:hAnsi="Times New Roman"/>
          <w:b/>
          <w:bCs/>
          <w:i/>
          <w:iCs/>
          <w:color w:val="000000"/>
          <w:sz w:val="24"/>
          <w:szCs w:val="24"/>
        </w:rPr>
        <w:t xml:space="preserve">Албанија </w:t>
      </w:r>
      <w:r w:rsidRPr="00A84F18">
        <w:rPr>
          <w:rFonts w:ascii="Times New Roman" w:hAnsi="Times New Roman"/>
          <w:color w:val="000000"/>
          <w:sz w:val="24"/>
          <w:szCs w:val="24"/>
        </w:rPr>
        <w:t xml:space="preserve">останаа добри. Во ноември 2022 година, владите на Северна Македонија и на Албанија ја одржаа втората заедничка седница во Скопје, на која двете земји потпишаа </w:t>
      </w:r>
      <w:bookmarkStart w:id="44" w:name="_Hlk150843832"/>
      <w:r w:rsidRPr="00A84F18">
        <w:rPr>
          <w:rFonts w:ascii="Times New Roman" w:hAnsi="Times New Roman"/>
          <w:color w:val="000000"/>
          <w:sz w:val="24"/>
          <w:szCs w:val="24"/>
        </w:rPr>
        <w:t xml:space="preserve">21 билатерални договори </w:t>
      </w:r>
      <w:bookmarkEnd w:id="44"/>
      <w:r w:rsidRPr="00A84F18">
        <w:rPr>
          <w:rFonts w:ascii="Times New Roman" w:hAnsi="Times New Roman"/>
          <w:color w:val="000000"/>
          <w:sz w:val="24"/>
          <w:szCs w:val="24"/>
        </w:rPr>
        <w:t xml:space="preserve">и меморандуми за разбирање за заедничка соработка во голем број области, </w:t>
      </w:r>
      <w:r>
        <w:rPr>
          <w:rFonts w:ascii="Times New Roman" w:hAnsi="Times New Roman"/>
          <w:color w:val="000000"/>
          <w:sz w:val="24"/>
          <w:szCs w:val="24"/>
        </w:rPr>
        <w:t>какви</w:t>
      </w:r>
      <w:r w:rsidRPr="00A84F18">
        <w:rPr>
          <w:rFonts w:ascii="Times New Roman" w:hAnsi="Times New Roman"/>
          <w:color w:val="000000"/>
          <w:sz w:val="24"/>
          <w:szCs w:val="24"/>
        </w:rPr>
        <w:t xml:space="preserve"> што се безбедност, одбрана, инфраструктура, енергетика, образование, наука и култура. Двете влади постигнаа согласност за три иницијативи</w:t>
      </w:r>
      <w:r>
        <w:rPr>
          <w:rFonts w:ascii="Times New Roman" w:hAnsi="Times New Roman"/>
          <w:color w:val="000000"/>
          <w:sz w:val="24"/>
          <w:szCs w:val="24"/>
        </w:rPr>
        <w:t>,</w:t>
      </w:r>
      <w:r w:rsidRPr="00A84F18">
        <w:rPr>
          <w:rFonts w:ascii="Times New Roman" w:hAnsi="Times New Roman"/>
          <w:color w:val="000000"/>
          <w:sz w:val="24"/>
          <w:szCs w:val="24"/>
        </w:rPr>
        <w:t xml:space="preserve"> и тоа за инфраструктурата на Коридорот VIII, за изградбата на суво пристаниште во Струга и за отворање на новиот граничен премин Струга</w:t>
      </w:r>
      <w:r>
        <w:rPr>
          <w:rFonts w:ascii="Times New Roman" w:hAnsi="Times New Roman"/>
          <w:color w:val="000000"/>
          <w:sz w:val="24"/>
          <w:szCs w:val="24"/>
        </w:rPr>
        <w:t xml:space="preserve"> – </w:t>
      </w:r>
      <w:r w:rsidRPr="00A84F18">
        <w:rPr>
          <w:rFonts w:ascii="Times New Roman" w:hAnsi="Times New Roman"/>
          <w:color w:val="000000"/>
          <w:sz w:val="24"/>
          <w:szCs w:val="24"/>
        </w:rPr>
        <w:t xml:space="preserve">Поградец. Исто така, Албанија и Северна Македонија ќе </w:t>
      </w:r>
      <w:bookmarkStart w:id="45" w:name="_Hlk150843919"/>
      <w:r w:rsidRPr="00A84F18">
        <w:rPr>
          <w:rFonts w:ascii="Times New Roman" w:hAnsi="Times New Roman"/>
          <w:color w:val="000000"/>
          <w:sz w:val="24"/>
          <w:szCs w:val="24"/>
        </w:rPr>
        <w:t>формираат</w:t>
      </w:r>
      <w:bookmarkEnd w:id="45"/>
      <w:r w:rsidRPr="00A84F18">
        <w:rPr>
          <w:rFonts w:ascii="Times New Roman" w:hAnsi="Times New Roman"/>
          <w:color w:val="000000"/>
          <w:sz w:val="24"/>
          <w:szCs w:val="24"/>
        </w:rPr>
        <w:t xml:space="preserve"> заеднички истражни тимови за борба против организираниот криминал. Земјите се согласија и да се стремат кон соработка во областа на одбраната, безбедноста, дигитализацијата, граничната контрола, подобрувањето на заштитата на децата и на употребата на албанскиот знаковен јазик во двете земји.</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Односите помеѓу Северна Македонија и </w:t>
      </w:r>
      <w:r w:rsidRPr="00A84F18">
        <w:rPr>
          <w:rFonts w:ascii="Times New Roman" w:hAnsi="Times New Roman"/>
          <w:b/>
          <w:bCs/>
          <w:i/>
          <w:iCs/>
          <w:color w:val="000000"/>
          <w:sz w:val="24"/>
          <w:szCs w:val="24"/>
        </w:rPr>
        <w:t xml:space="preserve">Босна и Херцеговина </w:t>
      </w:r>
      <w:r w:rsidRPr="00A84F18">
        <w:rPr>
          <w:rFonts w:ascii="Times New Roman" w:hAnsi="Times New Roman"/>
          <w:color w:val="000000"/>
          <w:sz w:val="24"/>
          <w:szCs w:val="24"/>
        </w:rPr>
        <w:t xml:space="preserve">продолжуваат да бидат добри. Двајцата министри за надворешни работи остварија средба на маргините на состанокот на Берлинскиот процес и министрите за надворешни работи на шесте земји од Западен Балкан што се одржа во Лондон. На почетокот на 2023 година, министерот за надворешни работи на Босна и Херцеговина беше во </w:t>
      </w:r>
      <w:r>
        <w:rPr>
          <w:rFonts w:ascii="Times New Roman" w:hAnsi="Times New Roman"/>
          <w:color w:val="000000"/>
          <w:sz w:val="24"/>
          <w:szCs w:val="24"/>
        </w:rPr>
        <w:t>службена</w:t>
      </w:r>
      <w:r w:rsidRPr="00A84F18">
        <w:rPr>
          <w:rFonts w:ascii="Times New Roman" w:hAnsi="Times New Roman"/>
          <w:color w:val="000000"/>
          <w:sz w:val="24"/>
          <w:szCs w:val="24"/>
        </w:rPr>
        <w:t xml:space="preserve"> посета на Северна Македонија. Во сила се неколку билатерални договори, вклучувајќи и договор за соработка за </w:t>
      </w:r>
      <w:r>
        <w:rPr>
          <w:rFonts w:ascii="Times New Roman" w:hAnsi="Times New Roman"/>
          <w:color w:val="000000"/>
          <w:sz w:val="24"/>
          <w:szCs w:val="24"/>
        </w:rPr>
        <w:t xml:space="preserve">европски </w:t>
      </w:r>
      <w:r w:rsidRPr="00A84F18">
        <w:rPr>
          <w:rFonts w:ascii="Times New Roman" w:hAnsi="Times New Roman"/>
          <w:color w:val="000000"/>
          <w:sz w:val="24"/>
          <w:szCs w:val="24"/>
        </w:rPr>
        <w:t>интеграции.</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Билатералната соработка со </w:t>
      </w:r>
      <w:r w:rsidRPr="00A84F18">
        <w:rPr>
          <w:rFonts w:ascii="Times New Roman" w:hAnsi="Times New Roman"/>
          <w:b/>
          <w:bCs/>
          <w:i/>
          <w:iCs/>
          <w:color w:val="000000"/>
          <w:sz w:val="24"/>
          <w:szCs w:val="24"/>
        </w:rPr>
        <w:t xml:space="preserve">Косово </w:t>
      </w:r>
      <w:r w:rsidRPr="00A84F18">
        <w:rPr>
          <w:rFonts w:ascii="Times New Roman" w:hAnsi="Times New Roman"/>
          <w:color w:val="000000"/>
          <w:sz w:val="24"/>
          <w:szCs w:val="24"/>
        </w:rPr>
        <w:t xml:space="preserve">продолжува да биде интензивна и конструктивна, со одржани неколку средби на највисоко ниво. Претседателот на Косово ја посети Северна Македонија во април 2023 година. Собранието на Косово формира Група за пријателство со Северна Македонија. Претседателот на Собранието на Косово беше во </w:t>
      </w:r>
      <w:r>
        <w:rPr>
          <w:rFonts w:ascii="Times New Roman" w:hAnsi="Times New Roman"/>
          <w:color w:val="000000"/>
          <w:sz w:val="24"/>
          <w:szCs w:val="24"/>
        </w:rPr>
        <w:t>службена</w:t>
      </w:r>
      <w:r w:rsidRPr="00A84F18">
        <w:rPr>
          <w:rFonts w:ascii="Times New Roman" w:hAnsi="Times New Roman"/>
          <w:color w:val="000000"/>
          <w:sz w:val="24"/>
          <w:szCs w:val="24"/>
        </w:rPr>
        <w:t xml:space="preserve"> посета на Северна Македонија во декември 2022 година. Во март 2023 година двајцата премиери се сретнаа на маргините на Економскиот форум во Делфи.</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Билатералните односи со </w:t>
      </w:r>
      <w:r w:rsidRPr="00A84F18">
        <w:rPr>
          <w:rFonts w:ascii="Times New Roman" w:hAnsi="Times New Roman"/>
          <w:b/>
          <w:bCs/>
          <w:i/>
          <w:iCs/>
          <w:color w:val="000000"/>
          <w:sz w:val="24"/>
          <w:szCs w:val="24"/>
        </w:rPr>
        <w:t>Црна Гора</w:t>
      </w:r>
      <w:r w:rsidRPr="00A84F18">
        <w:rPr>
          <w:rFonts w:ascii="Times New Roman" w:hAnsi="Times New Roman"/>
          <w:color w:val="000000"/>
          <w:sz w:val="24"/>
          <w:szCs w:val="24"/>
        </w:rPr>
        <w:t xml:space="preserve"> остануваат добри. Во февруари 2023 година имаше сеопфатни политички консултации помеѓу министерствата за надворешни работи на двете земји на ниво на државни секретари, чиј фокус беше на билатерални прашања и прашања во врска со ЕУ и со НАТО. Во февруари 2023 година, претседателот на Северна Македонија се сретна со премиерот на Црна Гора на маргините на Светскиот економски форум во Давос. Министерот за надворешни работи одржа средби со претседателот и со премиерот на Црна Гора на маргините на состанокот на Јадранската повелба во март 2023 година. Двајцата премиери се сретнаа на маргините на Економскиот форум во Делфи во март 2023 година. Двете земји потпишаа Програма за соработка во областа на културата за 2023 – 2026 година.</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Билатералните односи со </w:t>
      </w:r>
      <w:r w:rsidRPr="00A84F18">
        <w:rPr>
          <w:rFonts w:ascii="Times New Roman" w:hAnsi="Times New Roman"/>
          <w:b/>
          <w:bCs/>
          <w:i/>
          <w:iCs/>
          <w:color w:val="000000"/>
          <w:sz w:val="24"/>
          <w:szCs w:val="24"/>
        </w:rPr>
        <w:t xml:space="preserve">Србија </w:t>
      </w:r>
      <w:r w:rsidRPr="00A84F18">
        <w:rPr>
          <w:rFonts w:ascii="Times New Roman" w:hAnsi="Times New Roman"/>
          <w:color w:val="000000"/>
          <w:sz w:val="24"/>
          <w:szCs w:val="24"/>
        </w:rPr>
        <w:t xml:space="preserve">се добри. Двајцата премиери се сретнаа на маргините на Минхенската конференција за безбедност, а министрите за надворешни работи имаа две средби на маргините на други меѓународни настани. Во јануари 2023 година, </w:t>
      </w:r>
      <w:r>
        <w:rPr>
          <w:rFonts w:ascii="Times New Roman" w:hAnsi="Times New Roman"/>
          <w:color w:val="000000"/>
          <w:sz w:val="24"/>
          <w:szCs w:val="24"/>
        </w:rPr>
        <w:t>м</w:t>
      </w:r>
      <w:r w:rsidRPr="00A84F18">
        <w:rPr>
          <w:rFonts w:ascii="Times New Roman" w:hAnsi="Times New Roman"/>
          <w:color w:val="000000"/>
          <w:sz w:val="24"/>
          <w:szCs w:val="24"/>
        </w:rPr>
        <w:t xml:space="preserve">инистерот за одбрана на Србија беше во </w:t>
      </w:r>
      <w:r>
        <w:rPr>
          <w:rFonts w:ascii="Times New Roman" w:hAnsi="Times New Roman"/>
          <w:color w:val="000000"/>
          <w:sz w:val="24"/>
          <w:szCs w:val="24"/>
        </w:rPr>
        <w:t>службена</w:t>
      </w:r>
      <w:r w:rsidRPr="00A84F18">
        <w:rPr>
          <w:rFonts w:ascii="Times New Roman" w:hAnsi="Times New Roman"/>
          <w:color w:val="000000"/>
          <w:sz w:val="24"/>
          <w:szCs w:val="24"/>
        </w:rPr>
        <w:t xml:space="preserve"> посета на Северна Македонија, а двајцата министри за внатрешни работи потпишаа Протокол за вршење гранични проверки на заедничкиот граничен премин Лојане</w:t>
      </w:r>
      <w:r>
        <w:rPr>
          <w:rFonts w:ascii="Times New Roman" w:hAnsi="Times New Roman"/>
          <w:color w:val="000000"/>
          <w:sz w:val="24"/>
          <w:szCs w:val="24"/>
        </w:rPr>
        <w:t xml:space="preserve"> – </w:t>
      </w:r>
      <w:r w:rsidRPr="00A84F18">
        <w:rPr>
          <w:rFonts w:ascii="Times New Roman" w:hAnsi="Times New Roman"/>
          <w:color w:val="000000"/>
          <w:sz w:val="24"/>
          <w:szCs w:val="24"/>
        </w:rPr>
        <w:t>Миратовац. Во март 2023 година премиерот на Северна Македонија го посети Белград. Во текот на посетата</w:t>
      </w:r>
      <w:r>
        <w:rPr>
          <w:rFonts w:ascii="Times New Roman" w:hAnsi="Times New Roman"/>
          <w:color w:val="000000"/>
          <w:sz w:val="24"/>
          <w:szCs w:val="24"/>
        </w:rPr>
        <w:t xml:space="preserve"> беа</w:t>
      </w:r>
      <w:r w:rsidRPr="00A84F18">
        <w:rPr>
          <w:rFonts w:ascii="Times New Roman" w:hAnsi="Times New Roman"/>
          <w:color w:val="000000"/>
          <w:sz w:val="24"/>
          <w:szCs w:val="24"/>
        </w:rPr>
        <w:t xml:space="preserve"> потпишани три меморандуми за разбирање за мерки со кои се унапредува движењето на лица и стоки, за соработка во рударскиот и во енергетскиот сектор и за проект за воспоставување интероперабилен електронски систем за наплата на патарина. Во април 2023 година беше потпишан и меморандум за разбирање за соработка во областа на </w:t>
      </w:r>
      <w:r>
        <w:rPr>
          <w:rFonts w:ascii="Times New Roman" w:hAnsi="Times New Roman"/>
          <w:color w:val="000000"/>
          <w:sz w:val="24"/>
          <w:szCs w:val="24"/>
        </w:rPr>
        <w:t xml:space="preserve">европските </w:t>
      </w:r>
      <w:r w:rsidRPr="00A84F18">
        <w:rPr>
          <w:rFonts w:ascii="Times New Roman" w:hAnsi="Times New Roman"/>
          <w:color w:val="000000"/>
          <w:sz w:val="24"/>
          <w:szCs w:val="24"/>
        </w:rPr>
        <w:t>интеграции.</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Односите со </w:t>
      </w:r>
      <w:r w:rsidRPr="00A84F18">
        <w:rPr>
          <w:rFonts w:ascii="Times New Roman" w:hAnsi="Times New Roman"/>
          <w:b/>
          <w:bCs/>
          <w:i/>
          <w:iCs/>
          <w:color w:val="000000"/>
          <w:sz w:val="24"/>
          <w:szCs w:val="24"/>
        </w:rPr>
        <w:t xml:space="preserve">Турција </w:t>
      </w:r>
      <w:r w:rsidRPr="00A84F18">
        <w:rPr>
          <w:rFonts w:ascii="Times New Roman" w:hAnsi="Times New Roman"/>
          <w:color w:val="000000"/>
          <w:sz w:val="24"/>
          <w:szCs w:val="24"/>
        </w:rPr>
        <w:t xml:space="preserve">се добри. Двете земји прославија 30 години дипломатски односи. Претседателот на турското народно собрание беше во посета на Северна Македонија во ноември 2022 година. По разорниот земјотрес во источниот дел на Турција во февруари 2023 година, </w:t>
      </w:r>
      <w:r>
        <w:rPr>
          <w:rFonts w:ascii="Times New Roman" w:hAnsi="Times New Roman"/>
          <w:color w:val="000000"/>
          <w:sz w:val="24"/>
          <w:szCs w:val="24"/>
        </w:rPr>
        <w:t>В</w:t>
      </w:r>
      <w:r w:rsidRPr="00A84F18">
        <w:rPr>
          <w:rFonts w:ascii="Times New Roman" w:hAnsi="Times New Roman"/>
          <w:color w:val="000000"/>
          <w:sz w:val="24"/>
          <w:szCs w:val="24"/>
        </w:rPr>
        <w:t>ладата испрати хуманитарна помош и војници и членови на Дирекцијата за спасување и заштита. Во февруари 2023 година двете земји потпишаа меморандум за соработка во областа на млади и спорт.</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Односите со </w:t>
      </w:r>
      <w:r w:rsidRPr="00A84F18">
        <w:rPr>
          <w:rFonts w:ascii="Times New Roman" w:hAnsi="Times New Roman"/>
          <w:b/>
          <w:bCs/>
          <w:i/>
          <w:iCs/>
          <w:color w:val="000000"/>
          <w:sz w:val="24"/>
          <w:szCs w:val="24"/>
        </w:rPr>
        <w:t xml:space="preserve">Украина </w:t>
      </w:r>
      <w:r w:rsidRPr="00A84F18">
        <w:rPr>
          <w:rFonts w:ascii="Times New Roman" w:hAnsi="Times New Roman"/>
          <w:color w:val="000000"/>
          <w:sz w:val="24"/>
          <w:szCs w:val="24"/>
        </w:rPr>
        <w:t>се интензивираа од почетокот на руската агресија. Северна Македонија ја изрази поддршката за Украина како приоритет за нејзиното претседавање со ОБСЕ во 2023 година. Северна Македонија го поддржува територијалниот интегритет и суверенитет на Украина, осудувајќи ја руската агресија врз Украина. Северна Македонија обезбеди хуманитарна и воена помош и е целосно усогласена со пакетот рестриктивни мерки на ЕУ против Русија. Северна Македонија и Украина имаат договори за трговија, заштита на инвестиции, култура, образование, туризам, транспорт и воена соработка. Од 2019 година</w:t>
      </w:r>
      <w:r>
        <w:rPr>
          <w:rFonts w:ascii="Times New Roman" w:hAnsi="Times New Roman"/>
          <w:color w:val="000000"/>
          <w:sz w:val="24"/>
          <w:szCs w:val="24"/>
        </w:rPr>
        <w:t xml:space="preserve"> е</w:t>
      </w:r>
      <w:r w:rsidRPr="00A84F18">
        <w:rPr>
          <w:rFonts w:ascii="Times New Roman" w:hAnsi="Times New Roman"/>
          <w:color w:val="000000"/>
          <w:sz w:val="24"/>
          <w:szCs w:val="24"/>
        </w:rPr>
        <w:t xml:space="preserve"> воведен безвизен режим за краток престој.</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Односите со </w:t>
      </w:r>
      <w:r w:rsidRPr="00A84F18">
        <w:rPr>
          <w:rFonts w:ascii="Times New Roman" w:hAnsi="Times New Roman"/>
          <w:b/>
          <w:bCs/>
          <w:i/>
          <w:iCs/>
          <w:color w:val="000000"/>
          <w:sz w:val="24"/>
          <w:szCs w:val="24"/>
        </w:rPr>
        <w:t xml:space="preserve">Грузија </w:t>
      </w:r>
      <w:r w:rsidRPr="00A84F18">
        <w:rPr>
          <w:rFonts w:ascii="Times New Roman" w:hAnsi="Times New Roman"/>
          <w:color w:val="000000"/>
          <w:sz w:val="24"/>
          <w:szCs w:val="24"/>
        </w:rPr>
        <w:t xml:space="preserve">се добри. Министерот за надворешни работи на Северна Македонија, во својство на иден </w:t>
      </w:r>
      <w:r>
        <w:rPr>
          <w:rFonts w:ascii="Times New Roman" w:hAnsi="Times New Roman"/>
          <w:color w:val="000000"/>
          <w:sz w:val="24"/>
          <w:szCs w:val="24"/>
        </w:rPr>
        <w:t>п</w:t>
      </w:r>
      <w:r w:rsidRPr="00A84F18">
        <w:rPr>
          <w:rFonts w:ascii="Times New Roman" w:hAnsi="Times New Roman"/>
          <w:color w:val="000000"/>
          <w:sz w:val="24"/>
          <w:szCs w:val="24"/>
        </w:rPr>
        <w:t xml:space="preserve">ретседавач со ОБСЕ, </w:t>
      </w:r>
      <w:r w:rsidRPr="00A84F18">
        <w:rPr>
          <w:rFonts w:ascii="Times New Roman" w:hAnsi="Times New Roman"/>
          <w:color w:val="111111"/>
          <w:sz w:val="24"/>
          <w:szCs w:val="24"/>
        </w:rPr>
        <w:t xml:space="preserve">се сретна со </w:t>
      </w:r>
      <w:r>
        <w:rPr>
          <w:rFonts w:ascii="Times New Roman" w:hAnsi="Times New Roman"/>
          <w:color w:val="111111"/>
          <w:sz w:val="24"/>
          <w:szCs w:val="24"/>
        </w:rPr>
        <w:t>својот</w:t>
      </w:r>
      <w:r w:rsidRPr="00A84F18">
        <w:rPr>
          <w:rFonts w:ascii="Times New Roman" w:hAnsi="Times New Roman"/>
          <w:color w:val="111111"/>
          <w:sz w:val="24"/>
          <w:szCs w:val="24"/>
        </w:rPr>
        <w:t xml:space="preserve"> грузиски колега </w:t>
      </w:r>
      <w:r w:rsidRPr="00A84F18">
        <w:rPr>
          <w:rFonts w:ascii="Times New Roman" w:hAnsi="Times New Roman"/>
          <w:color w:val="000000"/>
          <w:sz w:val="24"/>
          <w:szCs w:val="24"/>
        </w:rPr>
        <w:t xml:space="preserve">во декември 2022 година. </w:t>
      </w:r>
      <w:r w:rsidRPr="00A84F18">
        <w:rPr>
          <w:rFonts w:ascii="Times New Roman" w:hAnsi="Times New Roman"/>
          <w:color w:val="111111"/>
          <w:sz w:val="24"/>
          <w:szCs w:val="24"/>
        </w:rPr>
        <w:t>Во сила е договор за култура.</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111111"/>
          <w:sz w:val="24"/>
          <w:szCs w:val="24"/>
        </w:rPr>
        <w:t xml:space="preserve">Односите со </w:t>
      </w:r>
      <w:r w:rsidRPr="00A84F18">
        <w:rPr>
          <w:rFonts w:ascii="Times New Roman" w:hAnsi="Times New Roman"/>
          <w:b/>
          <w:bCs/>
          <w:i/>
          <w:iCs/>
          <w:color w:val="111111"/>
          <w:sz w:val="24"/>
          <w:szCs w:val="24"/>
        </w:rPr>
        <w:t xml:space="preserve">Молдавија </w:t>
      </w:r>
      <w:r w:rsidRPr="00A84F18">
        <w:rPr>
          <w:rFonts w:ascii="Times New Roman" w:hAnsi="Times New Roman"/>
          <w:color w:val="111111"/>
          <w:sz w:val="24"/>
          <w:szCs w:val="24"/>
        </w:rPr>
        <w:t>се добри. Северна Македонија, преку своето претседавање со ОБСЕ</w:t>
      </w:r>
      <w:r>
        <w:rPr>
          <w:rFonts w:ascii="Times New Roman" w:hAnsi="Times New Roman"/>
          <w:color w:val="111111"/>
          <w:sz w:val="24"/>
          <w:szCs w:val="24"/>
        </w:rPr>
        <w:t>,</w:t>
      </w:r>
      <w:r w:rsidRPr="00A84F18">
        <w:rPr>
          <w:rFonts w:ascii="Times New Roman" w:hAnsi="Times New Roman"/>
          <w:color w:val="111111"/>
          <w:sz w:val="24"/>
          <w:szCs w:val="24"/>
        </w:rPr>
        <w:t xml:space="preserve"> го следи процесот на решавање на конфликтот во Приднестровје. </w:t>
      </w:r>
      <w:r w:rsidRPr="00A84F18">
        <w:rPr>
          <w:rFonts w:ascii="Times New Roman" w:hAnsi="Times New Roman"/>
          <w:color w:val="000000"/>
          <w:sz w:val="24"/>
          <w:szCs w:val="24"/>
        </w:rPr>
        <w:t xml:space="preserve">Министерот за надворешни работи на Северна Македонија, </w:t>
      </w:r>
      <w:r w:rsidRPr="00A84F18">
        <w:rPr>
          <w:rFonts w:ascii="Times New Roman" w:hAnsi="Times New Roman"/>
          <w:color w:val="111111"/>
          <w:sz w:val="24"/>
          <w:szCs w:val="24"/>
        </w:rPr>
        <w:t xml:space="preserve">во својство на претседавач со ОБСЕ, отпатува во Кишињев </w:t>
      </w:r>
      <w:r w:rsidRPr="00A84F18">
        <w:rPr>
          <w:rFonts w:ascii="Times New Roman" w:hAnsi="Times New Roman"/>
          <w:color w:val="000000"/>
          <w:sz w:val="24"/>
          <w:szCs w:val="24"/>
        </w:rPr>
        <w:t xml:space="preserve">за да се осврне на некои од проблемите со кои се соочува Молдавија, особено за состојбата во Приднестровје. Двете земји имаат склучено договори за транспорт, трговија, царина, финансии, медицина и здравство, полиција, надворешни работи и </w:t>
      </w:r>
      <w:r>
        <w:rPr>
          <w:rFonts w:ascii="Times New Roman" w:hAnsi="Times New Roman"/>
          <w:color w:val="000000"/>
          <w:sz w:val="24"/>
          <w:szCs w:val="24"/>
        </w:rPr>
        <w:t xml:space="preserve">за </w:t>
      </w:r>
      <w:r w:rsidRPr="00A84F18">
        <w:rPr>
          <w:rFonts w:ascii="Times New Roman" w:hAnsi="Times New Roman"/>
          <w:color w:val="000000"/>
          <w:sz w:val="24"/>
          <w:szCs w:val="24"/>
        </w:rPr>
        <w:t>конзуларни прашања. Нема безвизен режим помеѓу двете земји.</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За време на извештајниот период, во фокусот на односите со </w:t>
      </w:r>
      <w:r w:rsidRPr="00A84F18">
        <w:rPr>
          <w:rFonts w:ascii="Times New Roman" w:hAnsi="Times New Roman"/>
          <w:b/>
          <w:bCs/>
          <w:i/>
          <w:iCs/>
          <w:color w:val="000000"/>
          <w:sz w:val="24"/>
          <w:szCs w:val="24"/>
        </w:rPr>
        <w:t xml:space="preserve">Бугарија </w:t>
      </w:r>
      <w:r w:rsidRPr="00A84F18">
        <w:rPr>
          <w:rFonts w:ascii="Times New Roman" w:hAnsi="Times New Roman"/>
          <w:color w:val="000000"/>
          <w:sz w:val="24"/>
          <w:szCs w:val="24"/>
        </w:rPr>
        <w:t xml:space="preserve">беа следните чекори во процесот на преговори за пристапување на Северна Македонија во ЕУ и билатералните обврски од Договорот за пријателство, добрососедство и соработка и неговиот Протокол. Северна Македонија формира меѓуресорска работна група, со која претседава </w:t>
      </w:r>
      <w:r>
        <w:rPr>
          <w:rFonts w:ascii="Times New Roman" w:hAnsi="Times New Roman"/>
          <w:color w:val="000000"/>
          <w:sz w:val="24"/>
          <w:szCs w:val="24"/>
        </w:rPr>
        <w:t>м</w:t>
      </w:r>
      <w:r w:rsidRPr="00A84F18">
        <w:rPr>
          <w:rFonts w:ascii="Times New Roman" w:hAnsi="Times New Roman"/>
          <w:color w:val="000000"/>
          <w:sz w:val="24"/>
          <w:szCs w:val="24"/>
        </w:rPr>
        <w:t xml:space="preserve">инистерот за надворешни работи, за да го координира спроведувањето на мерките предвидени во Протоколот. Формирани се и тематски подгрупи за: говор на омраза, рехабилитација на жртвите на репресијата од комунистичкиот период, спроведување на препораките </w:t>
      </w:r>
      <w:r>
        <w:rPr>
          <w:rFonts w:ascii="Times New Roman" w:hAnsi="Times New Roman"/>
          <w:color w:val="000000"/>
          <w:sz w:val="24"/>
          <w:szCs w:val="24"/>
        </w:rPr>
        <w:t>донесени</w:t>
      </w:r>
      <w:r w:rsidRPr="00A84F18">
        <w:rPr>
          <w:rFonts w:ascii="Times New Roman" w:hAnsi="Times New Roman"/>
          <w:color w:val="000000"/>
          <w:sz w:val="24"/>
          <w:szCs w:val="24"/>
        </w:rPr>
        <w:t xml:space="preserve"> од Мултидисциплинарната експертска комисија за историски и образовни прашања и заштита од дискриминација. Мултидисциплинарната експертска комисија за историски и образовни прашања одржа неколку средби во текот на извештајниот период. Во октомври 2022 година претседателот на Северна Македонија беше во </w:t>
      </w:r>
      <w:r>
        <w:rPr>
          <w:rFonts w:ascii="Times New Roman" w:hAnsi="Times New Roman"/>
          <w:color w:val="000000"/>
          <w:sz w:val="24"/>
          <w:szCs w:val="24"/>
        </w:rPr>
        <w:t>службена</w:t>
      </w:r>
      <w:r w:rsidRPr="00A84F18">
        <w:rPr>
          <w:rFonts w:ascii="Times New Roman" w:hAnsi="Times New Roman"/>
          <w:color w:val="000000"/>
          <w:sz w:val="24"/>
          <w:szCs w:val="24"/>
        </w:rPr>
        <w:t xml:space="preserve"> посета на Бугарија, а еден месец подоцна и министерот за надворешни работи имаше </w:t>
      </w:r>
      <w:r>
        <w:rPr>
          <w:rFonts w:ascii="Times New Roman" w:hAnsi="Times New Roman"/>
          <w:color w:val="000000"/>
          <w:sz w:val="24"/>
          <w:szCs w:val="24"/>
        </w:rPr>
        <w:t>службена</w:t>
      </w:r>
      <w:r w:rsidRPr="00A84F18">
        <w:rPr>
          <w:rFonts w:ascii="Times New Roman" w:hAnsi="Times New Roman"/>
          <w:color w:val="000000"/>
          <w:sz w:val="24"/>
          <w:szCs w:val="24"/>
        </w:rPr>
        <w:t xml:space="preserve"> посета на Софија. Во октомври 2022</w:t>
      </w:r>
      <w:r>
        <w:rPr>
          <w:rFonts w:ascii="Times New Roman" w:hAnsi="Times New Roman"/>
          <w:color w:val="000000"/>
          <w:sz w:val="24"/>
          <w:szCs w:val="24"/>
        </w:rPr>
        <w:t xml:space="preserve"> година</w:t>
      </w:r>
      <w:r w:rsidRPr="00A84F18">
        <w:rPr>
          <w:rFonts w:ascii="Times New Roman" w:hAnsi="Times New Roman"/>
          <w:color w:val="000000"/>
          <w:sz w:val="24"/>
          <w:szCs w:val="24"/>
        </w:rPr>
        <w:t xml:space="preserve"> двајцата премиери означија почеток на градежните работи на источниот железнички сегмент од Коридорот VIII во Северна Македонија на свеченост на која присуствуваа повеќе министри од двете земји. Во декември 2022 година двајцата министри за надворешни работи отворија билатерален бизнис-форум во Скопје. На форумот, компании од двете земји потпишаа четири договори</w:t>
      </w:r>
      <w:r w:rsidRPr="00A84F18">
        <w:rPr>
          <w:rFonts w:ascii="Times New Roman" w:hAnsi="Times New Roman"/>
          <w:sz w:val="24"/>
          <w:szCs w:val="24"/>
        </w:rPr>
        <w:t xml:space="preserve"> </w:t>
      </w:r>
      <w:r w:rsidRPr="00A84F18">
        <w:rPr>
          <w:rFonts w:ascii="Times New Roman" w:hAnsi="Times New Roman"/>
          <w:color w:val="000000"/>
          <w:sz w:val="24"/>
          <w:szCs w:val="24"/>
        </w:rPr>
        <w:t xml:space="preserve">во вредност од повеќе од 3 милиони евра. Билатералните односи беа под негативно влијание на изјавите дадени од поединечни политичари и од неколку инциденти, особено оние поврзани со бугарските културни клубови, со прослави на историски настани и </w:t>
      </w:r>
      <w:r>
        <w:rPr>
          <w:rFonts w:ascii="Times New Roman" w:hAnsi="Times New Roman"/>
          <w:color w:val="000000"/>
          <w:sz w:val="24"/>
          <w:szCs w:val="24"/>
        </w:rPr>
        <w:t xml:space="preserve">на </w:t>
      </w:r>
      <w:r w:rsidRPr="00A84F18">
        <w:rPr>
          <w:rFonts w:ascii="Times New Roman" w:hAnsi="Times New Roman"/>
          <w:color w:val="000000"/>
          <w:sz w:val="24"/>
          <w:szCs w:val="24"/>
        </w:rPr>
        <w:t xml:space="preserve">историски личности, фудбалски настани, како и со забраната за влез на граѓани, вклучително и на членови на Европскиот парламент. Релевантните органи во Северна Македонија презедоа одредени чекори за решавање на овие состојби и, каде што е неопходно, за утврдување одговорност, вклучувајќи спроведување истраги и изнесување на одговорните лица за кривичните дела пред органите на правдата. Потребни се дополнителни напори за да се промовира атмосфера на дијалог и </w:t>
      </w:r>
      <w:r>
        <w:rPr>
          <w:rFonts w:ascii="Times New Roman" w:hAnsi="Times New Roman"/>
          <w:color w:val="000000"/>
          <w:sz w:val="24"/>
          <w:szCs w:val="24"/>
        </w:rPr>
        <w:t>заемна</w:t>
      </w:r>
      <w:r w:rsidRPr="00A84F18">
        <w:rPr>
          <w:rFonts w:ascii="Times New Roman" w:hAnsi="Times New Roman"/>
          <w:color w:val="000000"/>
          <w:sz w:val="24"/>
          <w:szCs w:val="24"/>
        </w:rPr>
        <w:t xml:space="preserve"> почит.</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bookmarkStart w:id="46" w:name="bookmark33"/>
      <w:r w:rsidRPr="00A84F18">
        <w:rPr>
          <w:rFonts w:ascii="Times New Roman" w:hAnsi="Times New Roman"/>
          <w:color w:val="000000"/>
          <w:sz w:val="24"/>
          <w:szCs w:val="24"/>
        </w:rPr>
        <w:t>С</w:t>
      </w:r>
      <w:bookmarkEnd w:id="46"/>
      <w:r w:rsidRPr="00A84F18">
        <w:rPr>
          <w:rFonts w:ascii="Times New Roman" w:hAnsi="Times New Roman"/>
          <w:color w:val="000000"/>
          <w:sz w:val="24"/>
          <w:szCs w:val="24"/>
        </w:rPr>
        <w:t xml:space="preserve">оработката со </w:t>
      </w:r>
      <w:r w:rsidRPr="00A84F18">
        <w:rPr>
          <w:rFonts w:ascii="Times New Roman" w:hAnsi="Times New Roman"/>
          <w:b/>
          <w:bCs/>
          <w:i/>
          <w:iCs/>
          <w:color w:val="000000"/>
          <w:sz w:val="24"/>
          <w:szCs w:val="24"/>
        </w:rPr>
        <w:t xml:space="preserve">Грција </w:t>
      </w:r>
      <w:r w:rsidRPr="00A84F18">
        <w:rPr>
          <w:rFonts w:ascii="Times New Roman" w:hAnsi="Times New Roman"/>
          <w:color w:val="000000"/>
          <w:sz w:val="24"/>
          <w:szCs w:val="24"/>
        </w:rPr>
        <w:t>е интензивирана, особено во клучни области што се од заеднички интерес. Направен е напредок во спроведувањето на Преспанскиот договор и понатамошните напори треба да продолжат во таа насока. Одржани се неколку средби меѓу премиерите и меѓу министрите за надворешни работи. Во октомври 2022 година двајцата премиери се сретнаа на маргините на Европската политичка заедница во Прага. Во ноември 2022 година постојаната мешовита гранична комисија ја одржа својата 10</w:t>
      </w:r>
      <w:r>
        <w:rPr>
          <w:rFonts w:ascii="Times New Roman" w:hAnsi="Times New Roman"/>
          <w:color w:val="000000"/>
          <w:sz w:val="24"/>
          <w:szCs w:val="24"/>
        </w:rPr>
        <w:t>-та</w:t>
      </w:r>
      <w:r w:rsidRPr="00A84F18">
        <w:rPr>
          <w:rFonts w:ascii="Times New Roman" w:hAnsi="Times New Roman"/>
          <w:color w:val="000000"/>
          <w:sz w:val="24"/>
          <w:szCs w:val="24"/>
        </w:rPr>
        <w:t xml:space="preserve"> средба. Во декември 2022 година министерот за надворешни работи на Северна Македонија беше во </w:t>
      </w:r>
      <w:r>
        <w:rPr>
          <w:rFonts w:ascii="Times New Roman" w:hAnsi="Times New Roman"/>
          <w:color w:val="000000"/>
          <w:sz w:val="24"/>
          <w:szCs w:val="24"/>
        </w:rPr>
        <w:t>службена</w:t>
      </w:r>
      <w:r w:rsidRPr="00A84F18">
        <w:rPr>
          <w:rFonts w:ascii="Times New Roman" w:hAnsi="Times New Roman"/>
          <w:color w:val="000000"/>
          <w:sz w:val="24"/>
          <w:szCs w:val="24"/>
        </w:rPr>
        <w:t xml:space="preserve"> посета на Грција, а по неа, во јануари, </w:t>
      </w:r>
      <w:r>
        <w:rPr>
          <w:rFonts w:ascii="Times New Roman" w:hAnsi="Times New Roman"/>
          <w:color w:val="000000"/>
          <w:sz w:val="24"/>
          <w:szCs w:val="24"/>
        </w:rPr>
        <w:t>следуваше</w:t>
      </w:r>
      <w:r w:rsidRPr="00A84F18">
        <w:rPr>
          <w:rFonts w:ascii="Times New Roman" w:hAnsi="Times New Roman"/>
          <w:color w:val="000000"/>
          <w:sz w:val="24"/>
          <w:szCs w:val="24"/>
        </w:rPr>
        <w:t xml:space="preserve"> посета од вицепремиерот задолжен за европски прашања. Министерот за надворешни работи на Грција ја посети Струга во јуни 2023 година за да учествува на Преспа Форум за дијалог. Двете земји ја интензивираа енергетската соработка за изградба на интерконектор за природен гас меѓу Северна Македонија и Грција.</w:t>
      </w:r>
    </w:p>
    <w:p w:rsidR="00B76D43" w:rsidRPr="00A84F18" w:rsidRDefault="00B76D43" w:rsidP="008D6AE4">
      <w:pPr>
        <w:pStyle w:val="Heading1"/>
      </w:pPr>
      <w:bookmarkStart w:id="47" w:name="_Toc150411739"/>
      <w:r w:rsidRPr="00A84F18">
        <w:t>4.</w:t>
      </w:r>
      <w:r w:rsidRPr="00A84F18">
        <w:tab/>
        <w:t>СПОСОБНОСТ ЗА ПРЕЗЕМАЊЕ НА ОДГОВОРНОСТИТЕ НА ЧЛЕНСТВОТО</w:t>
      </w:r>
      <w:bookmarkEnd w:id="47"/>
    </w:p>
    <w:p w:rsidR="00B76D43" w:rsidRPr="00A84F18" w:rsidRDefault="00B76D43" w:rsidP="008D6AE4">
      <w:pPr>
        <w:pStyle w:val="Heading2"/>
      </w:pPr>
      <w:bookmarkStart w:id="48" w:name="bookmark34"/>
      <w:bookmarkStart w:id="49" w:name="_Toc150411740"/>
      <w:r w:rsidRPr="00A84F18">
        <w:t>К</w:t>
      </w:r>
      <w:bookmarkEnd w:id="48"/>
      <w:r w:rsidRPr="00A84F18">
        <w:t>ластер 2: Внатрешен пазар</w:t>
      </w:r>
      <w:bookmarkEnd w:id="49"/>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Кластерот внатрешен пазар опфаќа: слободно движење на стоки (Поглавје 1); слободно движење на работници (Поглавје 2); право на основање и слобода на давање услуги (Поглавје 3); слободно движење на капитал (Поглавје 4); право на трговски друштва (Поглавје 6); право на интелектуална сопственост (Поглавје 7); политика на конкуренција (Поглавје 8); финансиски услуги (Поглавје 9); и заштита на потрошувачи и здравствена заштита (Поглавје 28).</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Северна Македонија е умерено подготвена во повеќето области опфатени со Кластерот 2 за внатрешен пазар, имено за слободно движење на стоки, услуги и капитал, интелектуална сопственост, политика на конкуренција, финансиски услуги и заштита на потрошувачи и здравствена заштита. Земјата постигна добро ниво на подготвеност во однос на правото на трговски друштва, иако сѐ уште е во рана фаза на слободата на движење на работниците. Во текот на извештајниот период, Северна Македонија постигна добар напредок во однос на слободното движење на капитал и одреден напредок во однос на финансиските услуги и заштитата на потрошувачите и здравствената заштита. Постигнат е ограничен напредок во однос на слободното движење на стоки, правото на основање и слободата на давање услуги. Не е постигнат напредок во однос на правото на трговски друштва, правото на интелектуална сопственост и политиката на конкуренција и слободното движење на работници.</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Севкупно, во наредната година е потребен поголем напредок во областите опфатени со овој кластер бидејќи тоа ќе придонесе за подготовките на Северна Македонија за исполнување на барањата на внатрешниот пазар на ЕУ. Работата на овој кластер е многу важна за развојот на Заедничкиот регионален пазар.</w:t>
      </w:r>
    </w:p>
    <w:p w:rsidR="00B76D43" w:rsidRPr="00A84F18" w:rsidRDefault="00B76D43" w:rsidP="008D6AE4">
      <w:pPr>
        <w:pStyle w:val="Heading2"/>
      </w:pPr>
      <w:bookmarkStart w:id="50" w:name="bookmark35"/>
      <w:bookmarkStart w:id="51" w:name="_Toc150411741"/>
      <w:r w:rsidRPr="00A84F18">
        <w:t>П</w:t>
      </w:r>
      <w:bookmarkEnd w:id="50"/>
      <w:r w:rsidRPr="00A84F18">
        <w:t>оглавје 1: Слободно движење на стоки</w:t>
      </w:r>
      <w:bookmarkEnd w:id="51"/>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i/>
          <w:iCs/>
          <w:color w:val="000000"/>
          <w:sz w:val="24"/>
          <w:szCs w:val="24"/>
        </w:rPr>
        <w:t xml:space="preserve">Слободното движење на стоки овозможува слободно тргување со многу производи во рамките на ЕУ, врз основа на заеднички правила и </w:t>
      </w:r>
      <w:r>
        <w:rPr>
          <w:rFonts w:ascii="Times New Roman" w:hAnsi="Times New Roman"/>
          <w:i/>
          <w:iCs/>
          <w:color w:val="000000"/>
          <w:sz w:val="24"/>
          <w:szCs w:val="24"/>
        </w:rPr>
        <w:t>постапки</w:t>
      </w:r>
      <w:r w:rsidRPr="00A84F18">
        <w:rPr>
          <w:rFonts w:ascii="Times New Roman" w:hAnsi="Times New Roman"/>
          <w:i/>
          <w:iCs/>
          <w:color w:val="000000"/>
          <w:sz w:val="24"/>
          <w:szCs w:val="24"/>
        </w:rPr>
        <w:t>. Ако производите се регулирани со национални правила, начелото на слободно движење на стоки</w:t>
      </w:r>
      <w:r w:rsidR="00AF05B3">
        <w:rPr>
          <w:rFonts w:ascii="Times New Roman" w:hAnsi="Times New Roman"/>
          <w:i/>
          <w:iCs/>
          <w:color w:val="000000"/>
          <w:sz w:val="24"/>
          <w:szCs w:val="24"/>
        </w:rPr>
        <w:t xml:space="preserve"> </w:t>
      </w:r>
      <w:r w:rsidRPr="00A84F18">
        <w:rPr>
          <w:rFonts w:ascii="Times New Roman" w:hAnsi="Times New Roman"/>
          <w:i/>
          <w:iCs/>
          <w:color w:val="000000"/>
          <w:sz w:val="24"/>
          <w:szCs w:val="24"/>
        </w:rPr>
        <w:t>спречува тие да создадат неоправдани пречки во трговијата.</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Северна Македонија е </w:t>
      </w:r>
      <w:r w:rsidRPr="00A84F18">
        <w:rPr>
          <w:rFonts w:ascii="Times New Roman" w:hAnsi="Times New Roman"/>
          <w:b/>
          <w:bCs/>
          <w:color w:val="000000"/>
          <w:sz w:val="24"/>
          <w:szCs w:val="24"/>
        </w:rPr>
        <w:t>умерено подготвена</w:t>
      </w:r>
      <w:r w:rsidRPr="00A84F18">
        <w:rPr>
          <w:rFonts w:ascii="Times New Roman" w:hAnsi="Times New Roman"/>
          <w:color w:val="000000"/>
          <w:sz w:val="24"/>
          <w:szCs w:val="24"/>
        </w:rPr>
        <w:t xml:space="preserve"> во областа на слободното движење на стоки. Иако националното законодавство дозволува слободно тргување со производи, усогласувањето со најновото </w:t>
      </w:r>
      <w:r w:rsidRPr="00A84F18">
        <w:rPr>
          <w:rFonts w:ascii="Times New Roman" w:hAnsi="Times New Roman"/>
          <w:i/>
          <w:iCs/>
          <w:color w:val="000000"/>
          <w:sz w:val="24"/>
          <w:szCs w:val="24"/>
        </w:rPr>
        <w:t xml:space="preserve">право на ЕУ </w:t>
      </w:r>
      <w:r w:rsidRPr="00A84F18">
        <w:rPr>
          <w:rFonts w:ascii="Times New Roman" w:hAnsi="Times New Roman"/>
          <w:color w:val="000000"/>
          <w:sz w:val="24"/>
          <w:szCs w:val="24"/>
          <w:u w:val="single"/>
        </w:rPr>
        <w:t xml:space="preserve">треба да се интензивира. </w:t>
      </w:r>
      <w:r w:rsidRPr="00A84F18">
        <w:rPr>
          <w:rFonts w:ascii="Times New Roman" w:hAnsi="Times New Roman"/>
          <w:sz w:val="24"/>
          <w:szCs w:val="24"/>
        </w:rPr>
        <w:t xml:space="preserve">Постигнат е </w:t>
      </w:r>
      <w:r w:rsidRPr="00A84F18">
        <w:rPr>
          <w:rFonts w:ascii="Times New Roman" w:hAnsi="Times New Roman"/>
          <w:b/>
          <w:bCs/>
          <w:color w:val="000000"/>
          <w:sz w:val="24"/>
          <w:szCs w:val="24"/>
          <w:u w:val="single"/>
        </w:rPr>
        <w:t xml:space="preserve">ограничен напредок </w:t>
      </w:r>
      <w:r w:rsidRPr="00A84F18">
        <w:rPr>
          <w:rFonts w:ascii="Times New Roman" w:hAnsi="Times New Roman"/>
          <w:color w:val="000000"/>
          <w:sz w:val="24"/>
          <w:szCs w:val="24"/>
          <w:u w:val="single"/>
        </w:rPr>
        <w:t>по минатогодишните препораки со</w:t>
      </w:r>
      <w:r w:rsidRPr="00A84F18">
        <w:rPr>
          <w:rFonts w:ascii="Times New Roman" w:hAnsi="Times New Roman"/>
          <w:sz w:val="24"/>
          <w:szCs w:val="24"/>
        </w:rPr>
        <w:t xml:space="preserve"> </w:t>
      </w:r>
      <w:r>
        <w:rPr>
          <w:rFonts w:ascii="Times New Roman" w:hAnsi="Times New Roman"/>
          <w:color w:val="000000"/>
          <w:sz w:val="24"/>
          <w:szCs w:val="24"/>
        </w:rPr>
        <w:t>донесувањето</w:t>
      </w:r>
      <w:r w:rsidRPr="00A84F18">
        <w:rPr>
          <w:rFonts w:ascii="Times New Roman" w:hAnsi="Times New Roman"/>
          <w:color w:val="000000"/>
          <w:sz w:val="24"/>
          <w:szCs w:val="24"/>
        </w:rPr>
        <w:t xml:space="preserve"> два закони за усогласување со </w:t>
      </w:r>
      <w:r w:rsidRPr="00A84F18">
        <w:rPr>
          <w:rFonts w:ascii="Times New Roman" w:hAnsi="Times New Roman"/>
          <w:sz w:val="24"/>
          <w:szCs w:val="24"/>
        </w:rPr>
        <w:t>Директивата на ЕУ за општа безбедност на производите</w:t>
      </w:r>
      <w:r w:rsidRPr="00A84F18">
        <w:rPr>
          <w:rFonts w:ascii="Times New Roman" w:hAnsi="Times New Roman"/>
          <w:color w:val="000000"/>
          <w:sz w:val="24"/>
          <w:szCs w:val="24"/>
        </w:rPr>
        <w:t>. Според тоа, најголем дел од минатогодишните препораки остануваат да важат.</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Во наредната година земјата особено треба:</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w:t>
      </w:r>
      <w:r w:rsidRPr="00A84F18">
        <w:rPr>
          <w:rFonts w:ascii="Times New Roman" w:hAnsi="Times New Roman"/>
          <w:color w:val="000000"/>
          <w:sz w:val="24"/>
          <w:szCs w:val="24"/>
        </w:rPr>
        <w:tab/>
        <w:t xml:space="preserve">да го донесе Законот за надзор на пазарот и законодавството за спроведување што се неопходни за да се заврши усогласувањето со Директивата на ЕУ за општа безбедност на производите и да се почне со значително зголемување на човечките ресурси </w:t>
      </w:r>
      <w:r>
        <w:rPr>
          <w:rFonts w:ascii="Times New Roman" w:hAnsi="Times New Roman"/>
          <w:color w:val="000000"/>
          <w:sz w:val="24"/>
          <w:szCs w:val="24"/>
        </w:rPr>
        <w:t>што</w:t>
      </w:r>
      <w:r w:rsidRPr="00A84F18">
        <w:rPr>
          <w:rFonts w:ascii="Times New Roman" w:hAnsi="Times New Roman"/>
          <w:color w:val="000000"/>
          <w:sz w:val="24"/>
          <w:szCs w:val="24"/>
        </w:rPr>
        <w:t xml:space="preserve"> обезбедуваат надзор на пазарот;</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w:t>
      </w:r>
      <w:r w:rsidRPr="00A84F18">
        <w:rPr>
          <w:rFonts w:ascii="Times New Roman" w:hAnsi="Times New Roman"/>
          <w:color w:val="000000"/>
          <w:sz w:val="24"/>
          <w:szCs w:val="24"/>
        </w:rPr>
        <w:tab/>
        <w:t xml:space="preserve">да изготви и да донесе нов акциски план за да се отстранат нетарифните </w:t>
      </w:r>
      <w:r>
        <w:rPr>
          <w:rFonts w:ascii="Times New Roman" w:hAnsi="Times New Roman"/>
          <w:color w:val="000000"/>
          <w:sz w:val="24"/>
          <w:szCs w:val="24"/>
        </w:rPr>
        <w:t>пречки</w:t>
      </w:r>
      <w:r w:rsidRPr="00A84F18">
        <w:rPr>
          <w:rFonts w:ascii="Times New Roman" w:hAnsi="Times New Roman"/>
          <w:color w:val="000000"/>
          <w:sz w:val="24"/>
          <w:szCs w:val="24"/>
        </w:rPr>
        <w:t xml:space="preserve"> во трговијата и да се обезбеди усогласеност со членовите 34-36 од Договорот за функционирање на Европската Унија (ДФЕУ);</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w:t>
      </w:r>
      <w:r w:rsidRPr="00A84F18">
        <w:rPr>
          <w:rFonts w:ascii="Times New Roman" w:hAnsi="Times New Roman"/>
          <w:color w:val="000000"/>
          <w:sz w:val="24"/>
          <w:szCs w:val="24"/>
        </w:rPr>
        <w:tab/>
        <w:t xml:space="preserve">да се финализира и </w:t>
      </w:r>
      <w:r>
        <w:rPr>
          <w:rFonts w:ascii="Times New Roman" w:hAnsi="Times New Roman"/>
          <w:color w:val="000000"/>
          <w:sz w:val="24"/>
          <w:szCs w:val="24"/>
        </w:rPr>
        <w:t xml:space="preserve">да се </w:t>
      </w:r>
      <w:r w:rsidRPr="00A84F18">
        <w:rPr>
          <w:rFonts w:ascii="Times New Roman" w:hAnsi="Times New Roman"/>
          <w:color w:val="000000"/>
          <w:sz w:val="24"/>
          <w:szCs w:val="24"/>
        </w:rPr>
        <w:t xml:space="preserve">донесе стратегија за слободно движење на стоки за да се обезбеди понатамошно усогласување на националното законодавство со релевантното </w:t>
      </w:r>
      <w:r w:rsidRPr="00A84F18">
        <w:rPr>
          <w:rFonts w:ascii="Times New Roman" w:hAnsi="Times New Roman"/>
          <w:i/>
          <w:iCs/>
          <w:color w:val="000000"/>
          <w:sz w:val="24"/>
          <w:szCs w:val="24"/>
        </w:rPr>
        <w:t>право</w:t>
      </w:r>
      <w:r w:rsidRPr="00A84F18">
        <w:rPr>
          <w:rFonts w:ascii="Times New Roman" w:hAnsi="Times New Roman"/>
          <w:color w:val="000000"/>
          <w:sz w:val="24"/>
          <w:szCs w:val="24"/>
        </w:rPr>
        <w:t xml:space="preserve"> на ЕУ.</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u w:val="single"/>
        </w:rPr>
        <w:t>Општи начела</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Земјата воспостави институционална рамка за </w:t>
      </w:r>
      <w:r w:rsidRPr="00A84F18">
        <w:rPr>
          <w:rFonts w:ascii="Times New Roman" w:hAnsi="Times New Roman"/>
          <w:b/>
          <w:bCs/>
          <w:color w:val="000000"/>
          <w:sz w:val="24"/>
          <w:szCs w:val="24"/>
        </w:rPr>
        <w:t>производство, дистрибуција и ставање на пазарот на индустриски производи</w:t>
      </w:r>
      <w:r w:rsidRPr="00A84F18">
        <w:rPr>
          <w:rFonts w:ascii="Times New Roman" w:hAnsi="Times New Roman"/>
          <w:color w:val="000000"/>
          <w:sz w:val="24"/>
          <w:szCs w:val="24"/>
        </w:rPr>
        <w:t xml:space="preserve">. Донесени се нов Закон за технички барања и Закон за општа безбедност на производите со цел да се усогласат со релевантното </w:t>
      </w:r>
      <w:r w:rsidRPr="00A84F18">
        <w:rPr>
          <w:rFonts w:ascii="Times New Roman" w:hAnsi="Times New Roman"/>
          <w:i/>
          <w:iCs/>
          <w:color w:val="000000"/>
          <w:sz w:val="24"/>
          <w:szCs w:val="24"/>
        </w:rPr>
        <w:t xml:space="preserve">право </w:t>
      </w:r>
      <w:r w:rsidRPr="00A84F18">
        <w:rPr>
          <w:rFonts w:ascii="Times New Roman" w:hAnsi="Times New Roman"/>
          <w:color w:val="000000"/>
          <w:sz w:val="24"/>
          <w:szCs w:val="24"/>
        </w:rPr>
        <w:t>на ЕУ, но сѐ уште не е донесено релевантното законодавство за спроведување. Исто така, треба да се донесе нов Закон за надзор на пазарот.</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u w:val="single"/>
        </w:rPr>
        <w:t>Неусогласена област</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Министерството за економија обезбеди следење и спроведување на усогласеноста со </w:t>
      </w:r>
      <w:r w:rsidRPr="00A84F18">
        <w:rPr>
          <w:rFonts w:ascii="Times New Roman" w:hAnsi="Times New Roman"/>
          <w:b/>
          <w:bCs/>
          <w:color w:val="000000"/>
          <w:sz w:val="24"/>
          <w:szCs w:val="24"/>
        </w:rPr>
        <w:t xml:space="preserve">членовите 34-36 </w:t>
      </w:r>
      <w:r w:rsidRPr="00A84F18">
        <w:rPr>
          <w:rFonts w:ascii="Times New Roman" w:hAnsi="Times New Roman"/>
          <w:color w:val="000000"/>
          <w:sz w:val="24"/>
          <w:szCs w:val="24"/>
        </w:rPr>
        <w:t xml:space="preserve">од ДФЕУ. Министерството заврши и проверка на националната правна рамка </w:t>
      </w:r>
      <w:r>
        <w:rPr>
          <w:rFonts w:ascii="Times New Roman" w:hAnsi="Times New Roman"/>
          <w:color w:val="000000"/>
          <w:sz w:val="24"/>
          <w:szCs w:val="24"/>
        </w:rPr>
        <w:t>за</w:t>
      </w:r>
      <w:r w:rsidRPr="00A84F18">
        <w:rPr>
          <w:rFonts w:ascii="Times New Roman" w:hAnsi="Times New Roman"/>
          <w:color w:val="000000"/>
          <w:sz w:val="24"/>
          <w:szCs w:val="24"/>
        </w:rPr>
        <w:t xml:space="preserve"> да се утврдат областите што не се усогласени со овие членови. Во тек е подготовката на акциски план за отстранување на нетарифните </w:t>
      </w:r>
      <w:r>
        <w:rPr>
          <w:rFonts w:ascii="Times New Roman" w:hAnsi="Times New Roman"/>
          <w:color w:val="000000"/>
          <w:sz w:val="24"/>
          <w:szCs w:val="24"/>
        </w:rPr>
        <w:t>пречки</w:t>
      </w:r>
      <w:r w:rsidRPr="00A84F18">
        <w:rPr>
          <w:rFonts w:ascii="Times New Roman" w:hAnsi="Times New Roman"/>
          <w:color w:val="000000"/>
          <w:sz w:val="24"/>
          <w:szCs w:val="24"/>
        </w:rPr>
        <w:t xml:space="preserve"> за трговија и за обезбедување усогласеност со членовите 34-36 од ДФЕУ. Ова треба да се заврши, </w:t>
      </w:r>
      <w:r>
        <w:rPr>
          <w:rFonts w:ascii="Times New Roman" w:hAnsi="Times New Roman"/>
          <w:color w:val="000000"/>
          <w:sz w:val="24"/>
          <w:szCs w:val="24"/>
        </w:rPr>
        <w:t xml:space="preserve">да се </w:t>
      </w:r>
      <w:r w:rsidRPr="00A84F18">
        <w:rPr>
          <w:rFonts w:ascii="Times New Roman" w:hAnsi="Times New Roman"/>
          <w:color w:val="000000"/>
          <w:sz w:val="24"/>
          <w:szCs w:val="24"/>
        </w:rPr>
        <w:t xml:space="preserve">донесе и </w:t>
      </w:r>
      <w:r>
        <w:rPr>
          <w:rFonts w:ascii="Times New Roman" w:hAnsi="Times New Roman"/>
          <w:color w:val="000000"/>
          <w:sz w:val="24"/>
          <w:szCs w:val="24"/>
        </w:rPr>
        <w:t xml:space="preserve">да се </w:t>
      </w:r>
      <w:r w:rsidRPr="00A84F18">
        <w:rPr>
          <w:rFonts w:ascii="Times New Roman" w:hAnsi="Times New Roman"/>
          <w:color w:val="000000"/>
          <w:sz w:val="24"/>
          <w:szCs w:val="24"/>
        </w:rPr>
        <w:t>спроведе.</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u w:val="single"/>
        </w:rPr>
        <w:t>Усогласена област: инфраструктура на квалитет</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Воспоставена е неопходната институционална и правна структура за технички прописи, стандарди, процена на сообразноста, акредитација, метрологија и </w:t>
      </w:r>
      <w:r>
        <w:rPr>
          <w:rFonts w:ascii="Times New Roman" w:hAnsi="Times New Roman"/>
          <w:color w:val="000000"/>
          <w:sz w:val="24"/>
          <w:szCs w:val="24"/>
        </w:rPr>
        <w:t xml:space="preserve">за </w:t>
      </w:r>
      <w:r w:rsidRPr="00A84F18">
        <w:rPr>
          <w:rFonts w:ascii="Times New Roman" w:hAnsi="Times New Roman"/>
          <w:color w:val="000000"/>
          <w:sz w:val="24"/>
          <w:szCs w:val="24"/>
        </w:rPr>
        <w:t xml:space="preserve">надзор на пазарот. Националниот институт за </w:t>
      </w:r>
      <w:r w:rsidRPr="00A84F18">
        <w:rPr>
          <w:rFonts w:ascii="Times New Roman" w:hAnsi="Times New Roman"/>
          <w:b/>
          <w:bCs/>
          <w:color w:val="000000"/>
          <w:sz w:val="24"/>
          <w:szCs w:val="24"/>
        </w:rPr>
        <w:t>стандардизација</w:t>
      </w:r>
      <w:r w:rsidRPr="00A84F18">
        <w:rPr>
          <w:rFonts w:ascii="Times New Roman" w:hAnsi="Times New Roman"/>
          <w:color w:val="000000"/>
          <w:sz w:val="24"/>
          <w:szCs w:val="24"/>
        </w:rPr>
        <w:t xml:space="preserve"> е полноправен член на Европскиот комитет за стандардизација (ЦЕН) и на Европскиот комитет за електротехничка стандардизација (ЦЕНЕЛЕК), а учествува и во работата на релевантни тела за стандардизација на ЕУ. Институтот </w:t>
      </w:r>
      <w:r>
        <w:rPr>
          <w:rFonts w:ascii="Times New Roman" w:hAnsi="Times New Roman"/>
          <w:color w:val="000000"/>
          <w:sz w:val="24"/>
          <w:szCs w:val="24"/>
        </w:rPr>
        <w:t>донесе</w:t>
      </w:r>
      <w:r w:rsidRPr="00A84F18">
        <w:rPr>
          <w:rFonts w:ascii="Times New Roman" w:hAnsi="Times New Roman"/>
          <w:color w:val="000000"/>
          <w:sz w:val="24"/>
          <w:szCs w:val="24"/>
        </w:rPr>
        <w:t xml:space="preserve"> 24</w:t>
      </w:r>
      <w:r>
        <w:rPr>
          <w:rFonts w:ascii="Times New Roman" w:hAnsi="Times New Roman"/>
          <w:color w:val="000000"/>
          <w:sz w:val="24"/>
          <w:szCs w:val="24"/>
        </w:rPr>
        <w:t>.</w:t>
      </w:r>
      <w:r w:rsidRPr="00A84F18">
        <w:rPr>
          <w:rFonts w:ascii="Times New Roman" w:hAnsi="Times New Roman"/>
          <w:color w:val="000000"/>
          <w:sz w:val="24"/>
          <w:szCs w:val="24"/>
        </w:rPr>
        <w:t>953 европски стандарди како национални стандарди и донесе 84 национални стандарди.</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Во јуни 2023 година Северна Македонија имаше 19 активни тела за </w:t>
      </w:r>
      <w:r w:rsidRPr="00A84F18">
        <w:rPr>
          <w:rFonts w:ascii="Times New Roman" w:hAnsi="Times New Roman"/>
          <w:b/>
          <w:bCs/>
          <w:color w:val="000000"/>
          <w:sz w:val="24"/>
          <w:szCs w:val="24"/>
        </w:rPr>
        <w:t xml:space="preserve">процена на сообразноста </w:t>
      </w:r>
      <w:r w:rsidRPr="00A84F18">
        <w:rPr>
          <w:rFonts w:ascii="Times New Roman" w:hAnsi="Times New Roman"/>
          <w:color w:val="000000"/>
          <w:sz w:val="24"/>
          <w:szCs w:val="24"/>
        </w:rPr>
        <w:t xml:space="preserve">за калибрација, тестирање, медицински лаборатории, сертификација и инспекција на производи и процеси. Институтот за </w:t>
      </w:r>
      <w:r w:rsidRPr="00A84F18">
        <w:rPr>
          <w:rFonts w:ascii="Times New Roman" w:hAnsi="Times New Roman"/>
          <w:b/>
          <w:bCs/>
          <w:color w:val="000000"/>
          <w:sz w:val="24"/>
          <w:szCs w:val="24"/>
        </w:rPr>
        <w:t xml:space="preserve">акредитација </w:t>
      </w:r>
      <w:r w:rsidRPr="00A84F18">
        <w:rPr>
          <w:rFonts w:ascii="Times New Roman" w:hAnsi="Times New Roman"/>
          <w:color w:val="000000"/>
          <w:sz w:val="24"/>
          <w:szCs w:val="24"/>
        </w:rPr>
        <w:t xml:space="preserve">на Република Северна Македонија е член на Меѓународниот форум за акредитација, на Европската соработка за акредитација (со која има потпишано мултилатерален договор), а исто така е и страна на Договорот за заемно признавање на Меѓународната соработка за акредитација на лаборатории (ILAC). Тој обезбедува </w:t>
      </w:r>
      <w:r>
        <w:rPr>
          <w:rFonts w:ascii="Times New Roman" w:hAnsi="Times New Roman"/>
          <w:color w:val="000000"/>
          <w:sz w:val="24"/>
          <w:szCs w:val="24"/>
        </w:rPr>
        <w:t>постапки</w:t>
      </w:r>
      <w:r w:rsidRPr="00A84F18">
        <w:rPr>
          <w:rFonts w:ascii="Times New Roman" w:hAnsi="Times New Roman"/>
          <w:color w:val="000000"/>
          <w:sz w:val="24"/>
          <w:szCs w:val="24"/>
        </w:rPr>
        <w:t xml:space="preserve"> за акредитација за тестирање,</w:t>
      </w:r>
      <w:r>
        <w:rPr>
          <w:rFonts w:ascii="Times New Roman" w:hAnsi="Times New Roman"/>
          <w:color w:val="000000"/>
          <w:sz w:val="24"/>
          <w:szCs w:val="24"/>
        </w:rPr>
        <w:t xml:space="preserve"> </w:t>
      </w:r>
      <w:r w:rsidRPr="00A84F18">
        <w:rPr>
          <w:rFonts w:ascii="Times New Roman" w:hAnsi="Times New Roman"/>
          <w:color w:val="000000"/>
          <w:sz w:val="24"/>
          <w:szCs w:val="24"/>
        </w:rPr>
        <w:t xml:space="preserve">калибрација и медицински лаборатории, тела за сертификација на производи и инспекциски тела. Не постојат национални програми за акредитација за сертифицирање </w:t>
      </w:r>
      <w:r>
        <w:rPr>
          <w:rFonts w:ascii="Times New Roman" w:hAnsi="Times New Roman"/>
          <w:color w:val="000000"/>
          <w:sz w:val="24"/>
          <w:szCs w:val="24"/>
        </w:rPr>
        <w:t>кадар</w:t>
      </w:r>
      <w:r w:rsidRPr="00A84F18">
        <w:rPr>
          <w:rFonts w:ascii="Times New Roman" w:hAnsi="Times New Roman"/>
          <w:color w:val="000000"/>
          <w:sz w:val="24"/>
          <w:szCs w:val="24"/>
        </w:rPr>
        <w:t xml:space="preserve"> и за тестирање вештини.</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Бирото за метрологија, националниот орган за </w:t>
      </w:r>
      <w:r w:rsidRPr="00A84F18">
        <w:rPr>
          <w:rFonts w:ascii="Times New Roman" w:hAnsi="Times New Roman"/>
          <w:b/>
          <w:bCs/>
          <w:color w:val="000000"/>
          <w:sz w:val="24"/>
          <w:szCs w:val="24"/>
        </w:rPr>
        <w:t>метрологија</w:t>
      </w:r>
      <w:r w:rsidRPr="00721A72">
        <w:rPr>
          <w:rFonts w:ascii="Times New Roman" w:hAnsi="Times New Roman"/>
          <w:color w:val="000000"/>
          <w:sz w:val="24"/>
          <w:szCs w:val="24"/>
        </w:rPr>
        <w:t>,</w:t>
      </w:r>
      <w:r w:rsidRPr="00A84F18">
        <w:rPr>
          <w:rFonts w:ascii="Times New Roman" w:hAnsi="Times New Roman"/>
          <w:b/>
          <w:bCs/>
          <w:color w:val="000000"/>
          <w:sz w:val="24"/>
          <w:szCs w:val="24"/>
        </w:rPr>
        <w:t xml:space="preserve"> </w:t>
      </w:r>
      <w:r w:rsidRPr="00A84F18">
        <w:rPr>
          <w:rFonts w:ascii="Times New Roman" w:hAnsi="Times New Roman"/>
          <w:color w:val="000000"/>
          <w:sz w:val="24"/>
          <w:szCs w:val="24"/>
        </w:rPr>
        <w:t>е официјален член на Европската асоцијација на национални институти за метрологија и на Генералната конференција за тегови и мерки. Има добро опремени лаборатории за калибрација за маса, температура и релативна влажност, должина и агол, притисок, волумен и проток, време и фреквенција, електрични големини, акустика и вибрации и една лабораторија за испитување на квалитетот на</w:t>
      </w:r>
      <w:r w:rsidRPr="00A84F18">
        <w:rPr>
          <w:rFonts w:ascii="Times New Roman" w:hAnsi="Times New Roman"/>
          <w:sz w:val="24"/>
          <w:szCs w:val="24"/>
        </w:rPr>
        <w:t xml:space="preserve"> </w:t>
      </w:r>
      <w:r w:rsidRPr="00A84F18">
        <w:rPr>
          <w:rFonts w:ascii="Times New Roman" w:hAnsi="Times New Roman"/>
          <w:color w:val="000000"/>
          <w:sz w:val="24"/>
          <w:szCs w:val="24"/>
        </w:rPr>
        <w:t>горивата. Сите акредитирани лаборатории се потписнички на Мултилатералниот договор за европска акредитација.</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Државниот пазарен инспекторат (ДПИ) е </w:t>
      </w:r>
      <w:r w:rsidRPr="00A84F18">
        <w:rPr>
          <w:rFonts w:ascii="Times New Roman" w:hAnsi="Times New Roman"/>
          <w:b/>
          <w:bCs/>
          <w:color w:val="000000"/>
          <w:sz w:val="24"/>
          <w:szCs w:val="24"/>
        </w:rPr>
        <w:t>главно тело за надзор на пазарот</w:t>
      </w:r>
      <w:r w:rsidRPr="00721A72">
        <w:rPr>
          <w:rFonts w:ascii="Times New Roman" w:hAnsi="Times New Roman"/>
          <w:color w:val="000000"/>
          <w:sz w:val="24"/>
          <w:szCs w:val="24"/>
        </w:rPr>
        <w:t>,</w:t>
      </w:r>
      <w:r w:rsidRPr="00A84F18">
        <w:rPr>
          <w:rFonts w:ascii="Times New Roman" w:hAnsi="Times New Roman"/>
          <w:b/>
          <w:bCs/>
          <w:color w:val="000000"/>
          <w:sz w:val="24"/>
          <w:szCs w:val="24"/>
        </w:rPr>
        <w:t xml:space="preserve"> </w:t>
      </w:r>
      <w:r w:rsidRPr="00A84F18">
        <w:rPr>
          <w:rFonts w:ascii="Times New Roman" w:hAnsi="Times New Roman"/>
          <w:color w:val="000000"/>
          <w:sz w:val="24"/>
          <w:szCs w:val="24"/>
        </w:rPr>
        <w:t xml:space="preserve">заедно со Државниот инспекторат за техничка инспекција и Државниот санитарен инспекторат. Исто така, постои и координативно тело за надзор на пазарот. Во 2022 година, ДПИ изврши 539 инспекции според Законот за општа </w:t>
      </w:r>
      <w:r w:rsidRPr="00A84F18">
        <w:rPr>
          <w:rFonts w:ascii="Times New Roman" w:hAnsi="Times New Roman"/>
          <w:b/>
          <w:bCs/>
          <w:color w:val="000000"/>
          <w:sz w:val="24"/>
          <w:szCs w:val="24"/>
        </w:rPr>
        <w:t xml:space="preserve">безбедност на производите </w:t>
      </w:r>
      <w:r w:rsidRPr="00A84F18">
        <w:rPr>
          <w:rFonts w:ascii="Times New Roman" w:hAnsi="Times New Roman"/>
          <w:color w:val="000000"/>
          <w:sz w:val="24"/>
          <w:szCs w:val="24"/>
        </w:rPr>
        <w:t>(зголемено во однос на 428 инспекции во 2021 година) и 168 инспекции според Законот за градежни производи (зголемено во однос на 20 инспекции во 2020 година). Тоа доведе до повлекување 59 штетни производи од пазарот, особено текстилни производи и играчки. Инспекторатот има 257 вработени, но недоволен број лиценцирани инспектори (151). Нема ефикасен софтверски систем за управување со документи за надзор на пазарот, вклучувајќи и за евидентирање на резултатите од инспекциите и соодветно планирање и управување со ризиците.</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u w:val="single"/>
        </w:rPr>
        <w:t>Усогласена област: секторско законодавство</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Во областа на </w:t>
      </w:r>
      <w:r w:rsidRPr="00A84F18">
        <w:rPr>
          <w:rFonts w:ascii="Times New Roman" w:hAnsi="Times New Roman"/>
          <w:b/>
          <w:bCs/>
          <w:color w:val="000000"/>
          <w:sz w:val="24"/>
          <w:szCs w:val="24"/>
        </w:rPr>
        <w:t>законодавство за производи според „новиот и глобален пристап“</w:t>
      </w:r>
      <w:r w:rsidRPr="00A84F18">
        <w:rPr>
          <w:rFonts w:ascii="Times New Roman" w:hAnsi="Times New Roman"/>
          <w:color w:val="000000"/>
          <w:sz w:val="24"/>
          <w:szCs w:val="24"/>
        </w:rPr>
        <w:t xml:space="preserve">, нивото на усогласеност со </w:t>
      </w:r>
      <w:r w:rsidRPr="00A84F18">
        <w:rPr>
          <w:rFonts w:ascii="Times New Roman" w:hAnsi="Times New Roman"/>
          <w:i/>
          <w:iCs/>
          <w:color w:val="000000"/>
          <w:sz w:val="24"/>
          <w:szCs w:val="24"/>
        </w:rPr>
        <w:t xml:space="preserve">правото </w:t>
      </w:r>
      <w:r w:rsidRPr="00A84F18">
        <w:rPr>
          <w:rFonts w:ascii="Times New Roman" w:hAnsi="Times New Roman"/>
          <w:color w:val="000000"/>
          <w:sz w:val="24"/>
          <w:szCs w:val="24"/>
        </w:rPr>
        <w:t xml:space="preserve">на ЕУ останува ниско. Нема напредок во усогласувањето со релевантното </w:t>
      </w:r>
      <w:r w:rsidRPr="00A84F18">
        <w:rPr>
          <w:rFonts w:ascii="Times New Roman" w:hAnsi="Times New Roman"/>
          <w:i/>
          <w:iCs/>
          <w:color w:val="000000"/>
          <w:sz w:val="24"/>
          <w:szCs w:val="24"/>
        </w:rPr>
        <w:t xml:space="preserve">право </w:t>
      </w:r>
      <w:r w:rsidRPr="00A84F18">
        <w:rPr>
          <w:rFonts w:ascii="Times New Roman" w:hAnsi="Times New Roman"/>
          <w:color w:val="000000"/>
          <w:sz w:val="24"/>
          <w:szCs w:val="24"/>
        </w:rPr>
        <w:t>на ЕУ во текот на извештајниот период. Во градежниот сектор, 10 еврокодови со 58 стандарди и 57 национални анекси станаа задолжителни почнувајќи од јануари 2023 година.</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Националното законодавство во однос на законодавството за </w:t>
      </w:r>
      <w:r w:rsidRPr="00A84F18">
        <w:rPr>
          <w:rFonts w:ascii="Times New Roman" w:hAnsi="Times New Roman"/>
          <w:b/>
          <w:bCs/>
          <w:color w:val="000000"/>
          <w:sz w:val="24"/>
          <w:szCs w:val="24"/>
        </w:rPr>
        <w:t xml:space="preserve">производи според „стариот пристап“ </w:t>
      </w:r>
      <w:r w:rsidRPr="00A84F18">
        <w:rPr>
          <w:rFonts w:ascii="Times New Roman" w:hAnsi="Times New Roman"/>
          <w:color w:val="000000"/>
          <w:sz w:val="24"/>
          <w:szCs w:val="24"/>
        </w:rPr>
        <w:t xml:space="preserve">сѐ уште не е усогласено со најновото </w:t>
      </w:r>
      <w:r w:rsidRPr="00A84F18">
        <w:rPr>
          <w:rFonts w:ascii="Times New Roman" w:hAnsi="Times New Roman"/>
          <w:i/>
          <w:iCs/>
          <w:color w:val="000000"/>
          <w:sz w:val="24"/>
          <w:szCs w:val="24"/>
        </w:rPr>
        <w:t xml:space="preserve">право </w:t>
      </w:r>
      <w:r w:rsidRPr="00A84F18">
        <w:rPr>
          <w:rFonts w:ascii="Times New Roman" w:hAnsi="Times New Roman"/>
          <w:color w:val="000000"/>
          <w:sz w:val="24"/>
          <w:szCs w:val="24"/>
        </w:rPr>
        <w:t xml:space="preserve">на ЕУ за моторни возила, возила на две или на три тркала, трактори (земјоделски, шумарски) или за емисии на недрумски подвижни машини. Треба да се донесат нови закони за овие производи што ќе бидат усогласени со релевантното </w:t>
      </w:r>
      <w:r w:rsidRPr="00A84F18">
        <w:rPr>
          <w:rFonts w:ascii="Times New Roman" w:hAnsi="Times New Roman"/>
          <w:i/>
          <w:iCs/>
          <w:color w:val="000000"/>
          <w:sz w:val="24"/>
          <w:szCs w:val="24"/>
        </w:rPr>
        <w:t xml:space="preserve">право </w:t>
      </w:r>
      <w:r w:rsidRPr="00A84F18">
        <w:rPr>
          <w:rFonts w:ascii="Times New Roman" w:hAnsi="Times New Roman"/>
          <w:color w:val="000000"/>
          <w:sz w:val="24"/>
          <w:szCs w:val="24"/>
        </w:rPr>
        <w:t xml:space="preserve">на ЕУ. Не е направен напредок во однос на усогласувањето со </w:t>
      </w:r>
      <w:r w:rsidRPr="00A84F18">
        <w:rPr>
          <w:rFonts w:ascii="Times New Roman" w:hAnsi="Times New Roman"/>
          <w:i/>
          <w:iCs/>
          <w:color w:val="000000"/>
          <w:sz w:val="24"/>
          <w:szCs w:val="24"/>
        </w:rPr>
        <w:t xml:space="preserve">правото </w:t>
      </w:r>
      <w:r w:rsidRPr="00A84F18">
        <w:rPr>
          <w:rFonts w:ascii="Times New Roman" w:hAnsi="Times New Roman"/>
          <w:color w:val="000000"/>
          <w:sz w:val="24"/>
          <w:szCs w:val="24"/>
        </w:rPr>
        <w:t xml:space="preserve">на ЕУ за хемикалии, вклучувајќи ги и </w:t>
      </w:r>
      <w:r>
        <w:rPr>
          <w:rFonts w:ascii="Times New Roman" w:hAnsi="Times New Roman"/>
          <w:color w:val="000000"/>
          <w:sz w:val="24"/>
          <w:szCs w:val="24"/>
        </w:rPr>
        <w:t>р</w:t>
      </w:r>
      <w:r w:rsidRPr="00A84F18">
        <w:rPr>
          <w:rFonts w:ascii="Times New Roman" w:hAnsi="Times New Roman"/>
          <w:color w:val="000000"/>
          <w:sz w:val="24"/>
          <w:szCs w:val="24"/>
        </w:rPr>
        <w:t xml:space="preserve">егулативите на ЕУ за регистрација, оцена, овластување и ограничување на хемикалии (РЕАЦХ), хемикалии, класификација, означување и пакување супстанции и смеси (ЦЛП), за добри лабораториски практики (ГЛП) и за </w:t>
      </w:r>
      <w:r w:rsidRPr="00A84F18">
        <w:rPr>
          <w:rFonts w:ascii="Times New Roman" w:hAnsi="Times New Roman"/>
          <w:b/>
          <w:bCs/>
          <w:color w:val="000000"/>
          <w:sz w:val="24"/>
          <w:szCs w:val="24"/>
        </w:rPr>
        <w:t>ѓубрива</w:t>
      </w:r>
      <w:r w:rsidRPr="00A84F18">
        <w:rPr>
          <w:rFonts w:ascii="Times New Roman" w:hAnsi="Times New Roman"/>
          <w:color w:val="000000"/>
          <w:sz w:val="24"/>
          <w:szCs w:val="24"/>
        </w:rPr>
        <w:t xml:space="preserve"> и </w:t>
      </w:r>
      <w:r w:rsidRPr="00A84F18">
        <w:rPr>
          <w:rFonts w:ascii="Times New Roman" w:hAnsi="Times New Roman"/>
          <w:b/>
          <w:bCs/>
          <w:color w:val="000000"/>
          <w:sz w:val="24"/>
          <w:szCs w:val="24"/>
        </w:rPr>
        <w:t>детергенти</w:t>
      </w:r>
      <w:r w:rsidRPr="00A84F18">
        <w:rPr>
          <w:rFonts w:ascii="Times New Roman" w:hAnsi="Times New Roman"/>
          <w:color w:val="000000"/>
          <w:sz w:val="24"/>
          <w:szCs w:val="24"/>
        </w:rPr>
        <w:t xml:space="preserve">. Административниот капацитет во областа на </w:t>
      </w:r>
      <w:r w:rsidRPr="00A84F18">
        <w:rPr>
          <w:rFonts w:ascii="Times New Roman" w:hAnsi="Times New Roman"/>
          <w:b/>
          <w:bCs/>
          <w:color w:val="000000"/>
          <w:sz w:val="24"/>
          <w:szCs w:val="24"/>
        </w:rPr>
        <w:t>огненото оружје</w:t>
      </w:r>
      <w:r w:rsidRPr="00A84F18">
        <w:rPr>
          <w:rFonts w:ascii="Times New Roman" w:hAnsi="Times New Roman"/>
          <w:color w:val="000000"/>
          <w:sz w:val="24"/>
          <w:szCs w:val="24"/>
        </w:rPr>
        <w:t xml:space="preserve"> исто така останува недоволен.</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Во однос на </w:t>
      </w:r>
      <w:r w:rsidRPr="00A84F18">
        <w:rPr>
          <w:rFonts w:ascii="Times New Roman" w:hAnsi="Times New Roman"/>
          <w:b/>
          <w:bCs/>
          <w:color w:val="000000"/>
          <w:sz w:val="24"/>
          <w:szCs w:val="24"/>
        </w:rPr>
        <w:t>процедуралните мерки</w:t>
      </w:r>
      <w:r w:rsidRPr="00A84F18">
        <w:rPr>
          <w:rFonts w:ascii="Times New Roman" w:hAnsi="Times New Roman"/>
          <w:color w:val="000000"/>
          <w:sz w:val="24"/>
          <w:szCs w:val="24"/>
        </w:rPr>
        <w:t xml:space="preserve">, </w:t>
      </w:r>
      <w:r w:rsidRPr="00A84F18">
        <w:rPr>
          <w:rFonts w:ascii="Times New Roman" w:hAnsi="Times New Roman"/>
          <w:b/>
          <w:bCs/>
          <w:color w:val="000000"/>
          <w:sz w:val="24"/>
          <w:szCs w:val="24"/>
        </w:rPr>
        <w:t xml:space="preserve">постапките за известување </w:t>
      </w:r>
      <w:r w:rsidRPr="00A84F18">
        <w:rPr>
          <w:rFonts w:ascii="Times New Roman" w:hAnsi="Times New Roman"/>
          <w:color w:val="000000"/>
          <w:sz w:val="24"/>
          <w:szCs w:val="24"/>
        </w:rPr>
        <w:t xml:space="preserve">за стандарди и за технички прописи се обезбедени од Министерството за економија и </w:t>
      </w:r>
      <w:r>
        <w:rPr>
          <w:rFonts w:ascii="Times New Roman" w:hAnsi="Times New Roman"/>
          <w:color w:val="000000"/>
          <w:sz w:val="24"/>
          <w:szCs w:val="24"/>
        </w:rPr>
        <w:t xml:space="preserve">од </w:t>
      </w:r>
      <w:r w:rsidRPr="00A84F18">
        <w:rPr>
          <w:rFonts w:ascii="Times New Roman" w:hAnsi="Times New Roman"/>
          <w:color w:val="000000"/>
          <w:sz w:val="24"/>
          <w:szCs w:val="24"/>
        </w:rPr>
        <w:t xml:space="preserve">Институтот за стандардизација. Националното законодавство е делумно усогласено со </w:t>
      </w:r>
      <w:r w:rsidRPr="00A84F18">
        <w:rPr>
          <w:rFonts w:ascii="Times New Roman" w:hAnsi="Times New Roman"/>
          <w:i/>
          <w:iCs/>
          <w:color w:val="000000"/>
          <w:sz w:val="24"/>
          <w:szCs w:val="24"/>
        </w:rPr>
        <w:t xml:space="preserve">правото </w:t>
      </w:r>
      <w:r w:rsidRPr="00A84F18">
        <w:rPr>
          <w:rFonts w:ascii="Times New Roman" w:hAnsi="Times New Roman"/>
          <w:color w:val="000000"/>
          <w:sz w:val="24"/>
          <w:szCs w:val="24"/>
        </w:rPr>
        <w:t xml:space="preserve">на ЕУ за враќање на </w:t>
      </w:r>
      <w:r w:rsidRPr="00A84F18">
        <w:rPr>
          <w:rFonts w:ascii="Times New Roman" w:hAnsi="Times New Roman"/>
          <w:b/>
          <w:bCs/>
          <w:color w:val="000000"/>
          <w:sz w:val="24"/>
          <w:szCs w:val="24"/>
        </w:rPr>
        <w:t xml:space="preserve">културните добра </w:t>
      </w:r>
      <w:r w:rsidRPr="00A84F18">
        <w:rPr>
          <w:rFonts w:ascii="Times New Roman" w:hAnsi="Times New Roman"/>
          <w:color w:val="000000"/>
          <w:sz w:val="24"/>
          <w:szCs w:val="24"/>
        </w:rPr>
        <w:t xml:space="preserve">што незаконски се отстранети од земја членка. Во однос на </w:t>
      </w:r>
      <w:r w:rsidRPr="00A84F18">
        <w:rPr>
          <w:rFonts w:ascii="Times New Roman" w:hAnsi="Times New Roman"/>
          <w:b/>
          <w:bCs/>
          <w:color w:val="000000"/>
          <w:sz w:val="24"/>
          <w:szCs w:val="24"/>
        </w:rPr>
        <w:t>прекурсори за дрога</w:t>
      </w:r>
      <w:r w:rsidRPr="00A84F18">
        <w:rPr>
          <w:rFonts w:ascii="Times New Roman" w:hAnsi="Times New Roman"/>
          <w:color w:val="000000"/>
          <w:sz w:val="24"/>
          <w:szCs w:val="24"/>
        </w:rPr>
        <w:t xml:space="preserve">, увозот или извозот на ваквите производи мора да биде одобрен однапред и да биде следен од националниот ИТ-систем, а правните лица се должни да го пријават на органите секое сомнение за злоупотреба на производство, маркетинг, невообичаени нарачки, кражби или други незаконски активности во врска со наркотични дроги и психотропни супстанции. Во однос на </w:t>
      </w:r>
      <w:r w:rsidRPr="00A84F18">
        <w:rPr>
          <w:rFonts w:ascii="Times New Roman" w:hAnsi="Times New Roman"/>
          <w:b/>
          <w:bCs/>
          <w:color w:val="000000"/>
          <w:sz w:val="24"/>
          <w:szCs w:val="24"/>
        </w:rPr>
        <w:t>цивилни експлозиви</w:t>
      </w:r>
      <w:r w:rsidRPr="00A84F18">
        <w:rPr>
          <w:rFonts w:ascii="Times New Roman" w:hAnsi="Times New Roman"/>
          <w:color w:val="000000"/>
          <w:sz w:val="24"/>
          <w:szCs w:val="24"/>
        </w:rPr>
        <w:t>, економските оператори треба да бидат лиценцирани од органите за купување, продавање, увоз и извоз и за користење на овие производи, а постои и електронски систем за следење на купувањето, преносот, увозот, транзитот и извозот на експлозив за цивилна употреба.</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Во Националната стратегија за спречување корупција е посочено дека инспекторатите што се одговорни за надзор на пазарот и </w:t>
      </w:r>
      <w:r>
        <w:rPr>
          <w:rFonts w:ascii="Times New Roman" w:hAnsi="Times New Roman"/>
          <w:color w:val="000000"/>
          <w:sz w:val="24"/>
          <w:szCs w:val="24"/>
        </w:rPr>
        <w:t xml:space="preserve">за </w:t>
      </w:r>
      <w:r w:rsidRPr="00A84F18">
        <w:rPr>
          <w:rFonts w:ascii="Times New Roman" w:hAnsi="Times New Roman"/>
          <w:color w:val="000000"/>
          <w:sz w:val="24"/>
          <w:szCs w:val="24"/>
        </w:rPr>
        <w:t>безбедноста на производите се подложни на корупција и дека нивните овластувања се нејасни и се преклопуваат, а имаат и несоодветен кадар.</w:t>
      </w:r>
    </w:p>
    <w:p w:rsidR="00B76D43" w:rsidRPr="00A84F18" w:rsidRDefault="00B76D43" w:rsidP="008D6AE4">
      <w:pPr>
        <w:pStyle w:val="Heading2"/>
      </w:pPr>
      <w:bookmarkStart w:id="52" w:name="bookmark36"/>
      <w:bookmarkStart w:id="53" w:name="_Toc150411742"/>
      <w:r w:rsidRPr="00A84F18">
        <w:t>П</w:t>
      </w:r>
      <w:bookmarkEnd w:id="52"/>
      <w:r w:rsidRPr="00A84F18">
        <w:t>оглавје 2: Слободно движење на работници</w:t>
      </w:r>
      <w:bookmarkEnd w:id="53"/>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i/>
          <w:iCs/>
          <w:color w:val="000000"/>
          <w:sz w:val="24"/>
          <w:szCs w:val="24"/>
        </w:rPr>
        <w:t>Граѓаните на една земја членка имаат право да работат во друга земја членка и мора да им бидат обезбедени исти работни и социјални услови како и на другите работници.</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Северна Македонија е во </w:t>
      </w:r>
      <w:r w:rsidRPr="00A84F18">
        <w:rPr>
          <w:rFonts w:ascii="Times New Roman" w:hAnsi="Times New Roman"/>
          <w:b/>
          <w:bCs/>
          <w:color w:val="000000"/>
          <w:sz w:val="24"/>
          <w:szCs w:val="24"/>
        </w:rPr>
        <w:t xml:space="preserve">рана фаза на подготвеност </w:t>
      </w:r>
      <w:r w:rsidRPr="00A84F18">
        <w:rPr>
          <w:rFonts w:ascii="Times New Roman" w:hAnsi="Times New Roman"/>
          <w:color w:val="000000"/>
          <w:sz w:val="24"/>
          <w:szCs w:val="24"/>
        </w:rPr>
        <w:t xml:space="preserve">во областа на слободното движење на работници. </w:t>
      </w:r>
      <w:r w:rsidRPr="00A84F18">
        <w:rPr>
          <w:rFonts w:ascii="Times New Roman" w:hAnsi="Times New Roman"/>
          <w:b/>
          <w:bCs/>
          <w:color w:val="000000"/>
          <w:sz w:val="24"/>
          <w:szCs w:val="24"/>
        </w:rPr>
        <w:t xml:space="preserve">Не е постигнат напредок </w:t>
      </w:r>
      <w:r w:rsidRPr="00A84F18">
        <w:rPr>
          <w:rFonts w:ascii="Times New Roman" w:hAnsi="Times New Roman"/>
          <w:color w:val="000000"/>
          <w:sz w:val="24"/>
          <w:szCs w:val="24"/>
        </w:rPr>
        <w:t xml:space="preserve">во однос на препораките од минатата година, но органите организираа активности за градење капацитети за државните службеници </w:t>
      </w:r>
      <w:r>
        <w:rPr>
          <w:rFonts w:ascii="Times New Roman" w:hAnsi="Times New Roman"/>
          <w:color w:val="000000"/>
          <w:sz w:val="24"/>
          <w:szCs w:val="24"/>
        </w:rPr>
        <w:t>што</w:t>
      </w:r>
      <w:r w:rsidRPr="00A84F18">
        <w:rPr>
          <w:rFonts w:ascii="Times New Roman" w:hAnsi="Times New Roman"/>
          <w:color w:val="000000"/>
          <w:sz w:val="24"/>
          <w:szCs w:val="24"/>
        </w:rPr>
        <w:t xml:space="preserve"> ќе работат на Европската мрежа на услуги за вработување (ЕУРЕС) и на Европската агенција за труд (ЕЛА).</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Затоа, препораките од минатата година остануваат во важност. Во наредната година, Северна Македонија особено треба:</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w:t>
      </w:r>
      <w:r w:rsidRPr="00A84F18">
        <w:rPr>
          <w:rFonts w:ascii="Times New Roman" w:hAnsi="Times New Roman"/>
          <w:color w:val="000000"/>
          <w:sz w:val="24"/>
          <w:szCs w:val="24"/>
        </w:rPr>
        <w:tab/>
        <w:t xml:space="preserve">да го зајакне капацитетот на Агенцијата за вработување со продолжување на активностите за обука и дополнително да го усогласи законодавството и размената на добри практики, во согласност со прописите на ЕУРЕС и </w:t>
      </w:r>
      <w:r>
        <w:rPr>
          <w:rFonts w:ascii="Times New Roman" w:hAnsi="Times New Roman"/>
          <w:color w:val="000000"/>
          <w:sz w:val="24"/>
          <w:szCs w:val="24"/>
        </w:rPr>
        <w:t xml:space="preserve">на </w:t>
      </w:r>
      <w:r w:rsidRPr="00A84F18">
        <w:rPr>
          <w:rFonts w:ascii="Times New Roman" w:hAnsi="Times New Roman"/>
          <w:color w:val="000000"/>
          <w:sz w:val="24"/>
          <w:szCs w:val="24"/>
        </w:rPr>
        <w:t>ЕЛА;</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w:t>
      </w:r>
      <w:r>
        <w:rPr>
          <w:rFonts w:ascii="Times New Roman" w:hAnsi="Times New Roman"/>
          <w:color w:val="000000"/>
          <w:sz w:val="24"/>
          <w:szCs w:val="24"/>
        </w:rPr>
        <w:tab/>
      </w:r>
      <w:r w:rsidRPr="00A84F18">
        <w:rPr>
          <w:rFonts w:ascii="Times New Roman" w:hAnsi="Times New Roman"/>
          <w:color w:val="000000"/>
          <w:sz w:val="24"/>
          <w:szCs w:val="24"/>
        </w:rPr>
        <w:t xml:space="preserve">да продолжи со приспособувањето на правната рамка во согласност со </w:t>
      </w:r>
      <w:r w:rsidRPr="00A84F18">
        <w:rPr>
          <w:rFonts w:ascii="Times New Roman" w:hAnsi="Times New Roman"/>
          <w:i/>
          <w:iCs/>
          <w:color w:val="000000"/>
          <w:sz w:val="24"/>
          <w:szCs w:val="24"/>
        </w:rPr>
        <w:t xml:space="preserve">правото </w:t>
      </w:r>
      <w:r w:rsidRPr="00A84F18">
        <w:rPr>
          <w:rFonts w:ascii="Times New Roman" w:hAnsi="Times New Roman"/>
          <w:color w:val="000000"/>
          <w:sz w:val="24"/>
          <w:szCs w:val="24"/>
        </w:rPr>
        <w:t>на ЕУ за пристап до пазарот на труд, особено во врска со правилата за недискриминација врз основа на националност во однос на работниците од ЕУ во сите сектори;</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w:t>
      </w:r>
      <w:r w:rsidRPr="00A84F18">
        <w:rPr>
          <w:rFonts w:ascii="Times New Roman" w:hAnsi="Times New Roman"/>
          <w:color w:val="000000"/>
          <w:sz w:val="24"/>
          <w:szCs w:val="24"/>
        </w:rPr>
        <w:tab/>
        <w:t>да продолжи со преговори и со склучување билатерални договори за координација на социјалното осигурување и за здравственото осигурување со земјите членки на ЕУ и да воспостави административни мерки за подготовка за пристапување.</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Не е постигнат напредок во усогласувањето на националното законодавство со </w:t>
      </w:r>
      <w:r w:rsidRPr="00A84F18">
        <w:rPr>
          <w:rFonts w:ascii="Times New Roman" w:hAnsi="Times New Roman"/>
          <w:i/>
          <w:iCs/>
          <w:color w:val="000000"/>
          <w:sz w:val="24"/>
          <w:szCs w:val="24"/>
        </w:rPr>
        <w:t xml:space="preserve">правото </w:t>
      </w:r>
      <w:r w:rsidRPr="00A84F18">
        <w:rPr>
          <w:rFonts w:ascii="Times New Roman" w:hAnsi="Times New Roman"/>
          <w:color w:val="000000"/>
          <w:sz w:val="24"/>
          <w:szCs w:val="24"/>
        </w:rPr>
        <w:t xml:space="preserve">на ЕУ во однос на </w:t>
      </w:r>
      <w:r w:rsidRPr="00A84F18">
        <w:rPr>
          <w:rFonts w:ascii="Times New Roman" w:hAnsi="Times New Roman"/>
          <w:b/>
          <w:bCs/>
          <w:color w:val="000000"/>
          <w:sz w:val="24"/>
          <w:szCs w:val="24"/>
        </w:rPr>
        <w:t>пристапот до пазарот на труд</w:t>
      </w:r>
      <w:r w:rsidRPr="00A84F18">
        <w:rPr>
          <w:rFonts w:ascii="Times New Roman" w:hAnsi="Times New Roman"/>
          <w:color w:val="000000"/>
          <w:sz w:val="24"/>
          <w:szCs w:val="24"/>
        </w:rPr>
        <w:t xml:space="preserve">. На странските работници </w:t>
      </w:r>
      <w:r>
        <w:rPr>
          <w:rFonts w:ascii="Times New Roman" w:hAnsi="Times New Roman"/>
          <w:color w:val="000000"/>
          <w:sz w:val="24"/>
          <w:szCs w:val="24"/>
        </w:rPr>
        <w:t>што</w:t>
      </w:r>
      <w:r w:rsidRPr="00A84F18">
        <w:rPr>
          <w:rFonts w:ascii="Times New Roman" w:hAnsi="Times New Roman"/>
          <w:color w:val="000000"/>
          <w:sz w:val="24"/>
          <w:szCs w:val="24"/>
        </w:rPr>
        <w:t xml:space="preserve"> влегуваат во земјата им е потребна работна дозвола. Агенцијата за вработување издава неколку видови работни дозволи за странски работници во согласност со годишните квоти предвидени со Законот за вработување странци. Граѓаните на ЕУ сѐ уште немаат пристап до работни места во јавната администрација како и до одредени работни места во приватни компании што се предвидени исклучиво за државјани на Северна Македонија. Во 2022 година Северна Македонија издаде 800 работни дозволи на странски работници и 334 работни дозволи во текот на првите пет месеци од 2023 година.</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Спроведени се активности за градење на капацитетите на јавните службеници во областа на </w:t>
      </w:r>
      <w:r w:rsidRPr="00A84F18">
        <w:rPr>
          <w:rFonts w:ascii="Times New Roman" w:hAnsi="Times New Roman"/>
          <w:b/>
          <w:bCs/>
          <w:color w:val="000000"/>
          <w:sz w:val="24"/>
          <w:szCs w:val="24"/>
        </w:rPr>
        <w:t xml:space="preserve">ЕУРЕС </w:t>
      </w:r>
      <w:r w:rsidRPr="00A84F18">
        <w:rPr>
          <w:rFonts w:ascii="Times New Roman" w:hAnsi="Times New Roman"/>
          <w:color w:val="000000"/>
          <w:sz w:val="24"/>
          <w:szCs w:val="24"/>
        </w:rPr>
        <w:t xml:space="preserve">и на </w:t>
      </w:r>
      <w:r w:rsidRPr="00A84F18">
        <w:rPr>
          <w:rFonts w:ascii="Times New Roman" w:hAnsi="Times New Roman"/>
          <w:b/>
          <w:bCs/>
          <w:color w:val="000000"/>
          <w:sz w:val="24"/>
          <w:szCs w:val="24"/>
        </w:rPr>
        <w:t xml:space="preserve">Европската агенција за труд </w:t>
      </w:r>
      <w:r w:rsidRPr="00A84F18">
        <w:rPr>
          <w:rFonts w:ascii="Times New Roman" w:hAnsi="Times New Roman"/>
          <w:color w:val="000000"/>
          <w:sz w:val="24"/>
          <w:szCs w:val="24"/>
        </w:rPr>
        <w:t>во текот на извештајниот период.</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Во текот на извештајниот период, не се склучени нови билатерални договори за </w:t>
      </w:r>
      <w:r w:rsidRPr="00A84F18">
        <w:rPr>
          <w:rFonts w:ascii="Times New Roman" w:hAnsi="Times New Roman"/>
          <w:b/>
          <w:bCs/>
          <w:color w:val="000000"/>
          <w:sz w:val="24"/>
          <w:szCs w:val="24"/>
        </w:rPr>
        <w:t xml:space="preserve">координација на системите за социјално осигурување </w:t>
      </w:r>
      <w:r w:rsidRPr="00A84F18">
        <w:rPr>
          <w:rFonts w:ascii="Times New Roman" w:hAnsi="Times New Roman"/>
          <w:color w:val="000000"/>
          <w:sz w:val="24"/>
          <w:szCs w:val="24"/>
        </w:rPr>
        <w:t>или за меѓусебно признавање на здравствените услуги. Земјата има склучено 23 билатерални договори за координација на системите за социјално осигурување, од кои 13 се со земји членки на ЕУ. Исто така, земјата има склучено и 18 билатерални договори за меѓусебно здравствено осигурување, од кои 12 се со земји членки на ЕУ.</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Граѓаните на девет земји членки на ЕУ може да ја користат </w:t>
      </w:r>
      <w:r w:rsidRPr="00A84F18">
        <w:rPr>
          <w:rFonts w:ascii="Times New Roman" w:hAnsi="Times New Roman"/>
          <w:b/>
          <w:bCs/>
          <w:color w:val="000000"/>
          <w:sz w:val="24"/>
          <w:szCs w:val="24"/>
        </w:rPr>
        <w:t xml:space="preserve">Европската картичка за здравствено осигурување </w:t>
      </w:r>
      <w:r w:rsidRPr="00A84F18">
        <w:rPr>
          <w:rFonts w:ascii="Times New Roman" w:hAnsi="Times New Roman"/>
          <w:color w:val="000000"/>
          <w:sz w:val="24"/>
          <w:szCs w:val="24"/>
        </w:rPr>
        <w:t xml:space="preserve">и картичката е признаена од јавни и </w:t>
      </w:r>
      <w:r>
        <w:rPr>
          <w:rFonts w:ascii="Times New Roman" w:hAnsi="Times New Roman"/>
          <w:color w:val="000000"/>
          <w:sz w:val="24"/>
          <w:szCs w:val="24"/>
        </w:rPr>
        <w:t xml:space="preserve">од </w:t>
      </w:r>
      <w:r w:rsidRPr="00A84F18">
        <w:rPr>
          <w:rFonts w:ascii="Times New Roman" w:hAnsi="Times New Roman"/>
          <w:color w:val="000000"/>
          <w:sz w:val="24"/>
          <w:szCs w:val="24"/>
        </w:rPr>
        <w:t>приватни здравствени установи во државата што имаат договор со Фондот за здравствено осигурување.</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Агенцијата за вработување треба да донесе документ за политика за интегритет со кој ќе се засилат заложбите за борба против корупцијата.</w:t>
      </w:r>
    </w:p>
    <w:p w:rsidR="00B76D43" w:rsidRPr="00A84F18" w:rsidRDefault="00B76D43" w:rsidP="008D6AE4">
      <w:pPr>
        <w:pStyle w:val="Heading2"/>
      </w:pPr>
      <w:bookmarkStart w:id="54" w:name="bookmark37"/>
      <w:bookmarkStart w:id="55" w:name="_Toc150411743"/>
      <w:r w:rsidRPr="00A84F18">
        <w:t>П</w:t>
      </w:r>
      <w:bookmarkEnd w:id="54"/>
      <w:r w:rsidRPr="00A84F18">
        <w:t>оглавје 3: Право на основање и слобода на давање услуги</w:t>
      </w:r>
      <w:bookmarkEnd w:id="55"/>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i/>
          <w:iCs/>
          <w:color w:val="000000"/>
          <w:sz w:val="24"/>
          <w:szCs w:val="24"/>
        </w:rPr>
        <w:t>Физичките и правните лица на ЕУ имаат право да се основаат во која било земја членка и да обезбедуваат прекугранични услуги. За одредени регулирани професии, постојат правила за меѓусебно признавање на квалификациите. Правилата за поштенски услуги на ЕУ се насочени кон подобрување на квалитетот на универзалната услуга, кон постепено отворање на пазарот за конкуренцијата и кон воспоставување независно регулаторно тело.</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Во однос на правото на основање и слободата на давање услуги, Северна Македонија е </w:t>
      </w:r>
      <w:r w:rsidRPr="00A84F18">
        <w:rPr>
          <w:rFonts w:ascii="Times New Roman" w:hAnsi="Times New Roman"/>
          <w:b/>
          <w:bCs/>
          <w:color w:val="000000"/>
          <w:sz w:val="24"/>
          <w:szCs w:val="24"/>
        </w:rPr>
        <w:t>умерено подготвена</w:t>
      </w:r>
      <w:r w:rsidRPr="00A84F18">
        <w:rPr>
          <w:rFonts w:ascii="Times New Roman" w:hAnsi="Times New Roman"/>
          <w:color w:val="000000"/>
          <w:sz w:val="24"/>
          <w:szCs w:val="24"/>
        </w:rPr>
        <w:t xml:space="preserve">. Постигнат е </w:t>
      </w:r>
      <w:r w:rsidRPr="00A84F18">
        <w:rPr>
          <w:rFonts w:ascii="Times New Roman" w:hAnsi="Times New Roman"/>
          <w:b/>
          <w:bCs/>
          <w:color w:val="000000"/>
          <w:sz w:val="24"/>
          <w:szCs w:val="24"/>
        </w:rPr>
        <w:t xml:space="preserve">ограничен напредок </w:t>
      </w:r>
      <w:r w:rsidRPr="00A84F18">
        <w:rPr>
          <w:rFonts w:ascii="Times New Roman" w:hAnsi="Times New Roman"/>
          <w:color w:val="000000"/>
          <w:sz w:val="24"/>
          <w:szCs w:val="24"/>
        </w:rPr>
        <w:t xml:space="preserve">особено во усогласувањето со Директивата за услуги. Останува да се усогласи законодавната рамка со </w:t>
      </w:r>
      <w:r w:rsidRPr="00A84F18">
        <w:rPr>
          <w:rFonts w:ascii="Times New Roman" w:hAnsi="Times New Roman"/>
          <w:i/>
          <w:iCs/>
          <w:color w:val="000000"/>
          <w:sz w:val="24"/>
          <w:szCs w:val="24"/>
        </w:rPr>
        <w:t>правото</w:t>
      </w:r>
      <w:r w:rsidRPr="00A84F18">
        <w:rPr>
          <w:rFonts w:ascii="Times New Roman" w:hAnsi="Times New Roman"/>
          <w:color w:val="000000"/>
          <w:sz w:val="24"/>
          <w:szCs w:val="24"/>
        </w:rPr>
        <w:t xml:space="preserve"> на ЕУ во областите поштенски услуги и меѓусебно признавање на професионалните квалификации.</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Препораките од минатата година остануваат во важност. Во наредната година, Северна Македонија особено треба:</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w:t>
      </w:r>
      <w:r w:rsidRPr="00A84F18">
        <w:rPr>
          <w:rFonts w:ascii="Times New Roman" w:hAnsi="Times New Roman"/>
          <w:color w:val="000000"/>
          <w:sz w:val="24"/>
          <w:szCs w:val="24"/>
        </w:rPr>
        <w:tab/>
        <w:t>да донесе и да почне да го спроведува акцискиот план за 2024</w:t>
      </w:r>
      <w:r>
        <w:rPr>
          <w:rFonts w:ascii="Times New Roman" w:hAnsi="Times New Roman"/>
          <w:color w:val="000000"/>
          <w:sz w:val="24"/>
          <w:szCs w:val="24"/>
        </w:rPr>
        <w:t xml:space="preserve"> – </w:t>
      </w:r>
      <w:r w:rsidRPr="00A84F18">
        <w:rPr>
          <w:rFonts w:ascii="Times New Roman" w:hAnsi="Times New Roman"/>
          <w:color w:val="000000"/>
          <w:sz w:val="24"/>
          <w:szCs w:val="24"/>
        </w:rPr>
        <w:t>2025 за да се обезбеди секторските закони</w:t>
      </w:r>
      <w:r w:rsidRPr="00A84F18">
        <w:rPr>
          <w:rFonts w:ascii="Times New Roman" w:hAnsi="Times New Roman"/>
          <w:sz w:val="24"/>
          <w:szCs w:val="24"/>
        </w:rPr>
        <w:t xml:space="preserve"> </w:t>
      </w:r>
      <w:r w:rsidRPr="00A84F18">
        <w:rPr>
          <w:rFonts w:ascii="Times New Roman" w:hAnsi="Times New Roman"/>
          <w:color w:val="000000"/>
          <w:sz w:val="24"/>
          <w:szCs w:val="24"/>
        </w:rPr>
        <w:t>да бидат усогласени со Директивата за услуги на ЕУ, како и да ја зголеми количината информации и да обезбеди онлајн пристап до услугите во рамките на Единствена точка за контакт;</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w:t>
      </w:r>
      <w:r w:rsidRPr="00A84F18">
        <w:rPr>
          <w:rFonts w:ascii="Times New Roman" w:hAnsi="Times New Roman"/>
          <w:color w:val="000000"/>
          <w:sz w:val="24"/>
          <w:szCs w:val="24"/>
        </w:rPr>
        <w:tab/>
        <w:t xml:space="preserve">да продолжи со усогласување на законодавството со </w:t>
      </w:r>
      <w:r w:rsidRPr="00A84F18">
        <w:rPr>
          <w:rFonts w:ascii="Times New Roman" w:hAnsi="Times New Roman"/>
          <w:i/>
          <w:iCs/>
          <w:color w:val="000000"/>
          <w:sz w:val="24"/>
          <w:szCs w:val="24"/>
        </w:rPr>
        <w:t xml:space="preserve">правото </w:t>
      </w:r>
      <w:r w:rsidRPr="00A84F18">
        <w:rPr>
          <w:rFonts w:ascii="Times New Roman" w:hAnsi="Times New Roman"/>
          <w:color w:val="000000"/>
          <w:sz w:val="24"/>
          <w:szCs w:val="24"/>
        </w:rPr>
        <w:t>на ЕУ за поштенски услуги, вклучително и со Директивата за поштенски услуги и со Регулативата за прекугранична испорака на пратки;</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w:t>
      </w:r>
      <w:r w:rsidRPr="00A84F18">
        <w:rPr>
          <w:rFonts w:ascii="Times New Roman" w:hAnsi="Times New Roman"/>
          <w:color w:val="000000"/>
          <w:sz w:val="24"/>
          <w:szCs w:val="24"/>
        </w:rPr>
        <w:tab/>
        <w:t xml:space="preserve">да се усогласи со </w:t>
      </w:r>
      <w:r w:rsidRPr="00A84F18">
        <w:rPr>
          <w:rFonts w:ascii="Times New Roman" w:hAnsi="Times New Roman"/>
          <w:i/>
          <w:iCs/>
          <w:color w:val="000000"/>
          <w:sz w:val="24"/>
          <w:szCs w:val="24"/>
        </w:rPr>
        <w:t xml:space="preserve">правото </w:t>
      </w:r>
      <w:r w:rsidRPr="00A84F18">
        <w:rPr>
          <w:rFonts w:ascii="Times New Roman" w:hAnsi="Times New Roman"/>
          <w:color w:val="000000"/>
          <w:sz w:val="24"/>
          <w:szCs w:val="24"/>
        </w:rPr>
        <w:t xml:space="preserve">на ЕУ за меѓусебно признавање на професионалните квалификации, вклучително и со Директивата за признавање на професионалните квалификации и со Директивата за тест на пропорционалност пред </w:t>
      </w:r>
      <w:r>
        <w:rPr>
          <w:rFonts w:ascii="Times New Roman" w:hAnsi="Times New Roman"/>
          <w:color w:val="000000"/>
          <w:sz w:val="24"/>
          <w:szCs w:val="24"/>
        </w:rPr>
        <w:t>донесувањето</w:t>
      </w:r>
      <w:r w:rsidRPr="00A84F18">
        <w:rPr>
          <w:rFonts w:ascii="Times New Roman" w:hAnsi="Times New Roman"/>
          <w:color w:val="000000"/>
          <w:sz w:val="24"/>
          <w:szCs w:val="24"/>
        </w:rPr>
        <w:t xml:space="preserve"> на новата регулатива за професиите.</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Во однос на </w:t>
      </w:r>
      <w:r w:rsidRPr="00A84F18">
        <w:rPr>
          <w:rFonts w:ascii="Times New Roman" w:hAnsi="Times New Roman"/>
          <w:b/>
          <w:bCs/>
          <w:color w:val="000000"/>
          <w:sz w:val="24"/>
          <w:szCs w:val="24"/>
        </w:rPr>
        <w:t xml:space="preserve">правото на основање </w:t>
      </w:r>
      <w:r w:rsidRPr="00A84F18">
        <w:rPr>
          <w:rFonts w:ascii="Times New Roman" w:hAnsi="Times New Roman"/>
          <w:color w:val="000000"/>
          <w:sz w:val="24"/>
          <w:szCs w:val="24"/>
        </w:rPr>
        <w:t xml:space="preserve">и </w:t>
      </w:r>
      <w:r w:rsidRPr="00A84F18">
        <w:rPr>
          <w:rFonts w:ascii="Times New Roman" w:hAnsi="Times New Roman"/>
          <w:b/>
          <w:bCs/>
          <w:color w:val="000000"/>
          <w:sz w:val="24"/>
          <w:szCs w:val="24"/>
        </w:rPr>
        <w:t>слободата на давање прекугранични услуги</w:t>
      </w:r>
      <w:r w:rsidRPr="00A84F18">
        <w:rPr>
          <w:rFonts w:ascii="Times New Roman" w:hAnsi="Times New Roman"/>
          <w:color w:val="000000"/>
          <w:sz w:val="24"/>
          <w:szCs w:val="24"/>
        </w:rPr>
        <w:t>, Северна Македонија продолжи да го усогласува своето законодавство со Директивата за услуги на ЕУ со донесување амандмани на Законот за вршење сметководствени работи и на Законот за минерални суровини. Се подготвува нов акциски план за 2024 – 2025 за решавање на неусогласеноста на секторските закони. Единствената точка за контакт (</w:t>
      </w:r>
      <w:hyperlink r:id="rId12" w:history="1">
        <w:r w:rsidRPr="00A84F18">
          <w:rPr>
            <w:rFonts w:ascii="Times New Roman" w:hAnsi="Times New Roman"/>
            <w:color w:val="0066CC"/>
            <w:sz w:val="24"/>
            <w:szCs w:val="24"/>
            <w:u w:val="single"/>
          </w:rPr>
          <w:t>www.uslugi.gov.mk</w:t>
        </w:r>
      </w:hyperlink>
      <w:r w:rsidRPr="00A84F18">
        <w:rPr>
          <w:rFonts w:ascii="Times New Roman" w:hAnsi="Times New Roman"/>
          <w:color w:val="000000"/>
          <w:sz w:val="24"/>
          <w:szCs w:val="24"/>
        </w:rPr>
        <w:t>) треба да се развие и да се надгради за да ги исполни барањата утврдени во Директивата за услуги. До септември 2023 година, 238 услуги за граѓаните и за претпријатијата беа достапни онлајн (апликации може да се поднесуваат електронски).</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Во областа на </w:t>
      </w:r>
      <w:r w:rsidRPr="00A84F18">
        <w:rPr>
          <w:rFonts w:ascii="Times New Roman" w:hAnsi="Times New Roman"/>
          <w:b/>
          <w:bCs/>
          <w:color w:val="000000"/>
          <w:sz w:val="24"/>
          <w:szCs w:val="24"/>
        </w:rPr>
        <w:t>поштенските услуги</w:t>
      </w:r>
      <w:r w:rsidRPr="00721A72">
        <w:rPr>
          <w:rFonts w:ascii="Times New Roman" w:hAnsi="Times New Roman"/>
          <w:color w:val="000000"/>
          <w:sz w:val="24"/>
          <w:szCs w:val="24"/>
        </w:rPr>
        <w:t>,</w:t>
      </w:r>
      <w:r w:rsidRPr="00A84F18">
        <w:rPr>
          <w:rFonts w:ascii="Times New Roman" w:hAnsi="Times New Roman"/>
          <w:b/>
          <w:bCs/>
          <w:color w:val="000000"/>
          <w:sz w:val="24"/>
          <w:szCs w:val="24"/>
        </w:rPr>
        <w:t xml:space="preserve"> </w:t>
      </w:r>
      <w:r w:rsidRPr="00A84F18">
        <w:rPr>
          <w:rFonts w:ascii="Times New Roman" w:hAnsi="Times New Roman"/>
          <w:color w:val="000000"/>
          <w:sz w:val="24"/>
          <w:szCs w:val="24"/>
        </w:rPr>
        <w:t xml:space="preserve">националното законодавство е усогласено со Директивите за поштенски услуги од 1997 </w:t>
      </w:r>
      <w:r>
        <w:rPr>
          <w:rFonts w:ascii="Times New Roman" w:hAnsi="Times New Roman"/>
          <w:color w:val="000000"/>
          <w:sz w:val="24"/>
          <w:szCs w:val="24"/>
        </w:rPr>
        <w:t>година</w:t>
      </w:r>
      <w:r w:rsidRPr="00A84F18">
        <w:rPr>
          <w:rFonts w:ascii="Times New Roman" w:hAnsi="Times New Roman"/>
          <w:color w:val="000000"/>
          <w:sz w:val="24"/>
          <w:szCs w:val="24"/>
        </w:rPr>
        <w:t xml:space="preserve"> и од 2002 </w:t>
      </w:r>
      <w:r>
        <w:rPr>
          <w:rFonts w:ascii="Times New Roman" w:hAnsi="Times New Roman"/>
          <w:color w:val="000000"/>
          <w:sz w:val="24"/>
          <w:szCs w:val="24"/>
        </w:rPr>
        <w:t>година</w:t>
      </w:r>
      <w:r w:rsidRPr="00A84F18">
        <w:rPr>
          <w:rFonts w:ascii="Times New Roman" w:hAnsi="Times New Roman"/>
          <w:color w:val="000000"/>
          <w:sz w:val="24"/>
          <w:szCs w:val="24"/>
        </w:rPr>
        <w:t xml:space="preserve"> и делумно со Директивата за поштенски услуги од 2008 </w:t>
      </w:r>
      <w:r>
        <w:rPr>
          <w:rFonts w:ascii="Times New Roman" w:hAnsi="Times New Roman"/>
          <w:color w:val="000000"/>
          <w:sz w:val="24"/>
          <w:szCs w:val="24"/>
        </w:rPr>
        <w:t>година</w:t>
      </w:r>
      <w:r w:rsidRPr="00A84F18">
        <w:rPr>
          <w:rFonts w:ascii="Times New Roman" w:hAnsi="Times New Roman"/>
          <w:color w:val="000000"/>
          <w:sz w:val="24"/>
          <w:szCs w:val="24"/>
        </w:rPr>
        <w:t xml:space="preserve">, бидејќи назначениот давател на универзални услуги (Поштата на Северна Македонија) сѐ уште има ексклузивно право да дава резервирани поштенски услуги до 31 декември 2023 година. Агенцијата за пошти е независно регулаторно тело што обезбедува усогласеност со </w:t>
      </w:r>
      <w:r>
        <w:rPr>
          <w:rFonts w:ascii="Times New Roman" w:hAnsi="Times New Roman"/>
          <w:color w:val="000000"/>
          <w:sz w:val="24"/>
          <w:szCs w:val="24"/>
        </w:rPr>
        <w:t>З</w:t>
      </w:r>
      <w:r w:rsidRPr="00A84F18">
        <w:rPr>
          <w:rFonts w:ascii="Times New Roman" w:hAnsi="Times New Roman"/>
          <w:color w:val="000000"/>
          <w:sz w:val="24"/>
          <w:szCs w:val="24"/>
        </w:rPr>
        <w:t>аконот за пошти и го следи квалитетот на услугата според европските стандарди за обезбедување универзална услуга во Северна Македонија. Во моментот, има еден давател на универзална услуга и 33 други поштенски оператори. Во однос на отворањето на поштенскиот пазар за целосна конкуренција во блиска иднина, во тек се подготовки за воспоставување системи за поделба на сметководството и на пресметувањето на нето-трошокот на универз</w:t>
      </w:r>
      <w:r>
        <w:rPr>
          <w:rFonts w:ascii="Times New Roman" w:hAnsi="Times New Roman"/>
          <w:color w:val="000000"/>
          <w:sz w:val="24"/>
          <w:szCs w:val="24"/>
        </w:rPr>
        <w:t>а</w:t>
      </w:r>
      <w:r w:rsidRPr="00A84F18">
        <w:rPr>
          <w:rFonts w:ascii="Times New Roman" w:hAnsi="Times New Roman"/>
          <w:color w:val="000000"/>
          <w:sz w:val="24"/>
          <w:szCs w:val="24"/>
        </w:rPr>
        <w:t xml:space="preserve">лната услуга, во согласност со Директивата за поштенски услуги. Северна Македонија се подготвува да ја усогласи својата рамка со Регулативата за прекугранична испорака на пратки. Агенцијата за пошти и Министерството за транспорт и врски треба да обезбедат доволно административен капацитет за следење и </w:t>
      </w:r>
      <w:r>
        <w:rPr>
          <w:rFonts w:ascii="Times New Roman" w:hAnsi="Times New Roman"/>
          <w:color w:val="000000"/>
          <w:sz w:val="24"/>
          <w:szCs w:val="24"/>
        </w:rPr>
        <w:t xml:space="preserve">за </w:t>
      </w:r>
      <w:r w:rsidRPr="00A84F18">
        <w:rPr>
          <w:rFonts w:ascii="Times New Roman" w:hAnsi="Times New Roman"/>
          <w:color w:val="000000"/>
          <w:sz w:val="24"/>
          <w:szCs w:val="24"/>
        </w:rPr>
        <w:t>спроведување на новите правила на поштенскиот пазар.</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Не е постигнат напредок во однос на </w:t>
      </w:r>
      <w:r w:rsidRPr="00A84F18">
        <w:rPr>
          <w:rFonts w:ascii="Times New Roman" w:hAnsi="Times New Roman"/>
          <w:b/>
          <w:bCs/>
          <w:color w:val="000000"/>
          <w:sz w:val="24"/>
          <w:szCs w:val="24"/>
        </w:rPr>
        <w:t>меѓусебното признавање на професионалните квалификации</w:t>
      </w:r>
      <w:r w:rsidRPr="00A84F18">
        <w:rPr>
          <w:rFonts w:ascii="Times New Roman" w:hAnsi="Times New Roman"/>
          <w:color w:val="000000"/>
          <w:sz w:val="24"/>
          <w:szCs w:val="24"/>
        </w:rPr>
        <w:t xml:space="preserve">. Сè уште не е донесен закон за признавање на професионалните квалификации, наменет за усогласување со </w:t>
      </w:r>
      <w:r w:rsidRPr="00A84F18">
        <w:rPr>
          <w:rFonts w:ascii="Times New Roman" w:hAnsi="Times New Roman"/>
          <w:i/>
          <w:iCs/>
          <w:color w:val="000000"/>
          <w:sz w:val="24"/>
          <w:szCs w:val="24"/>
        </w:rPr>
        <w:t xml:space="preserve">правото </w:t>
      </w:r>
      <w:r w:rsidRPr="00A84F18">
        <w:rPr>
          <w:rFonts w:ascii="Times New Roman" w:hAnsi="Times New Roman"/>
          <w:color w:val="000000"/>
          <w:sz w:val="24"/>
          <w:szCs w:val="24"/>
        </w:rPr>
        <w:t>на ЕУ. Националното законодавство сè уште треба да се усогласи со Директивата 2005/36/ЕЗ на ЕУ во однос на минималните барања за обука. Допрва треба да се стават во функција транспарентен список на сите регулирани професии и електронски регистар. Треба да се зајакне институционалниот капацитет на одделот во Министерството за образование и наука што се занимава со меѓусебно признавање на професионалните квалификации.</w:t>
      </w:r>
    </w:p>
    <w:p w:rsidR="00B76D43" w:rsidRPr="00A84F18" w:rsidRDefault="00B76D43" w:rsidP="008D6AE4">
      <w:pPr>
        <w:pStyle w:val="Heading2"/>
      </w:pPr>
      <w:bookmarkStart w:id="56" w:name="bookmark38"/>
      <w:bookmarkStart w:id="57" w:name="_Toc150411744"/>
      <w:r w:rsidRPr="00A84F18">
        <w:t>П</w:t>
      </w:r>
      <w:bookmarkEnd w:id="56"/>
      <w:r w:rsidRPr="00A84F18">
        <w:t>оглавје 4: Слободно движење на капитал</w:t>
      </w:r>
      <w:bookmarkEnd w:id="57"/>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i/>
          <w:iCs/>
          <w:color w:val="000000"/>
          <w:sz w:val="24"/>
          <w:szCs w:val="24"/>
        </w:rPr>
        <w:t>Во ЕУ, капиталот и инвестициите мора да бидат во состојба да се движат без ограничување, со заеднички правила за прекугранични плаќања. Банките и другите економски оператори применуваат одредени правила за поддршка на борбата против перење пари и финансирање тероризам.</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Северна Македонија е </w:t>
      </w:r>
      <w:r w:rsidRPr="00A84F18">
        <w:rPr>
          <w:rFonts w:ascii="Times New Roman" w:hAnsi="Times New Roman"/>
          <w:b/>
          <w:bCs/>
          <w:color w:val="000000"/>
          <w:sz w:val="24"/>
          <w:szCs w:val="24"/>
        </w:rPr>
        <w:t xml:space="preserve">умерено подготвена </w:t>
      </w:r>
      <w:r w:rsidRPr="00A84F18">
        <w:rPr>
          <w:rFonts w:ascii="Times New Roman" w:hAnsi="Times New Roman"/>
          <w:color w:val="000000"/>
          <w:sz w:val="24"/>
          <w:szCs w:val="24"/>
        </w:rPr>
        <w:t xml:space="preserve">во областа на слободното движење на капиталот. Постигнат е </w:t>
      </w:r>
      <w:r w:rsidRPr="00A84F18">
        <w:rPr>
          <w:rFonts w:ascii="Times New Roman" w:hAnsi="Times New Roman"/>
          <w:b/>
          <w:bCs/>
          <w:color w:val="000000"/>
          <w:sz w:val="24"/>
          <w:szCs w:val="24"/>
        </w:rPr>
        <w:t xml:space="preserve">добар напредок </w:t>
      </w:r>
      <w:r w:rsidRPr="00A84F18">
        <w:rPr>
          <w:rFonts w:ascii="Times New Roman" w:hAnsi="Times New Roman"/>
          <w:color w:val="000000"/>
          <w:sz w:val="24"/>
          <w:szCs w:val="24"/>
        </w:rPr>
        <w:t xml:space="preserve">во натамошното усогласување на националното право со </w:t>
      </w:r>
      <w:r w:rsidRPr="00A84F18">
        <w:rPr>
          <w:rFonts w:ascii="Times New Roman" w:hAnsi="Times New Roman"/>
          <w:i/>
          <w:iCs/>
          <w:color w:val="000000"/>
          <w:sz w:val="24"/>
          <w:szCs w:val="24"/>
        </w:rPr>
        <w:t>правото</w:t>
      </w:r>
      <w:r w:rsidRPr="00A84F18">
        <w:rPr>
          <w:rFonts w:ascii="Times New Roman" w:hAnsi="Times New Roman"/>
          <w:color w:val="000000"/>
          <w:sz w:val="24"/>
          <w:szCs w:val="24"/>
        </w:rPr>
        <w:t xml:space="preserve"> на ЕУ, со донесување нов </w:t>
      </w:r>
      <w:r>
        <w:rPr>
          <w:rFonts w:ascii="Times New Roman" w:hAnsi="Times New Roman"/>
          <w:color w:val="000000"/>
          <w:sz w:val="24"/>
          <w:szCs w:val="24"/>
        </w:rPr>
        <w:t>З</w:t>
      </w:r>
      <w:r w:rsidRPr="00A84F18">
        <w:rPr>
          <w:rFonts w:ascii="Times New Roman" w:hAnsi="Times New Roman"/>
          <w:color w:val="000000"/>
          <w:sz w:val="24"/>
          <w:szCs w:val="24"/>
        </w:rPr>
        <w:t xml:space="preserve">акон за борба против перење пари и финансирање тероризам и со спроведување на </w:t>
      </w:r>
      <w:r>
        <w:rPr>
          <w:rFonts w:ascii="Times New Roman" w:hAnsi="Times New Roman"/>
          <w:color w:val="000000"/>
          <w:sz w:val="24"/>
          <w:szCs w:val="24"/>
        </w:rPr>
        <w:t>З</w:t>
      </w:r>
      <w:r w:rsidRPr="00A84F18">
        <w:rPr>
          <w:rFonts w:ascii="Times New Roman" w:hAnsi="Times New Roman"/>
          <w:color w:val="000000"/>
          <w:sz w:val="24"/>
          <w:szCs w:val="24"/>
        </w:rPr>
        <w:t>аконот за платни системи и услуги. Постои потреба од брзо натамошно јакнење на административниот капацитет. Во текот на наредната година, земјата особено треба:</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w:t>
      </w:r>
      <w:r w:rsidRPr="00A84F18">
        <w:rPr>
          <w:rFonts w:ascii="Times New Roman" w:hAnsi="Times New Roman"/>
          <w:color w:val="000000"/>
          <w:sz w:val="24"/>
          <w:szCs w:val="24"/>
        </w:rPr>
        <w:tab/>
        <w:t xml:space="preserve">да усоврши, </w:t>
      </w:r>
      <w:r>
        <w:rPr>
          <w:rFonts w:ascii="Times New Roman" w:hAnsi="Times New Roman"/>
          <w:color w:val="000000"/>
          <w:sz w:val="24"/>
          <w:szCs w:val="24"/>
        </w:rPr>
        <w:t xml:space="preserve">да </w:t>
      </w:r>
      <w:r w:rsidRPr="00A84F18">
        <w:rPr>
          <w:rFonts w:ascii="Times New Roman" w:hAnsi="Times New Roman"/>
          <w:color w:val="000000"/>
          <w:sz w:val="24"/>
          <w:szCs w:val="24"/>
        </w:rPr>
        <w:t xml:space="preserve">донесе и </w:t>
      </w:r>
      <w:r>
        <w:rPr>
          <w:rFonts w:ascii="Times New Roman" w:hAnsi="Times New Roman"/>
          <w:color w:val="000000"/>
          <w:sz w:val="24"/>
          <w:szCs w:val="24"/>
        </w:rPr>
        <w:t xml:space="preserve">да </w:t>
      </w:r>
      <w:r w:rsidRPr="00A84F18">
        <w:rPr>
          <w:rFonts w:ascii="Times New Roman" w:hAnsi="Times New Roman"/>
          <w:color w:val="000000"/>
          <w:sz w:val="24"/>
          <w:szCs w:val="24"/>
        </w:rPr>
        <w:t>спроведе патоказ со активности и рокови за примена на правилата на ЕУ за слободно движење на капитал, вклучувајќи и за стекнување земјоделско земјиште;</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w:t>
      </w:r>
      <w:r w:rsidRPr="00A84F18">
        <w:rPr>
          <w:rFonts w:ascii="Times New Roman" w:hAnsi="Times New Roman"/>
          <w:color w:val="000000"/>
          <w:sz w:val="24"/>
          <w:szCs w:val="24"/>
        </w:rPr>
        <w:tab/>
        <w:t xml:space="preserve">да продолжи да го спроведува новиот </w:t>
      </w:r>
      <w:r>
        <w:rPr>
          <w:rFonts w:ascii="Times New Roman" w:hAnsi="Times New Roman"/>
          <w:color w:val="000000"/>
          <w:sz w:val="24"/>
          <w:szCs w:val="24"/>
        </w:rPr>
        <w:t>З</w:t>
      </w:r>
      <w:r w:rsidRPr="00A84F18">
        <w:rPr>
          <w:rFonts w:ascii="Times New Roman" w:hAnsi="Times New Roman"/>
          <w:color w:val="000000"/>
          <w:sz w:val="24"/>
          <w:szCs w:val="24"/>
        </w:rPr>
        <w:t>акон за платежни системи и услуги, вклучително и преку влез на пазарот на нови даватели на платежни услуги, придонесувајќи за поширок висококвалитетен избор на безбедни платежни услуги и преку унапредување на воспоставувањето унифициран регистар на банкарски сметки;</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w:t>
      </w:r>
      <w:r w:rsidRPr="00A84F18">
        <w:rPr>
          <w:rFonts w:ascii="Times New Roman" w:hAnsi="Times New Roman"/>
          <w:color w:val="000000"/>
          <w:sz w:val="24"/>
          <w:szCs w:val="24"/>
        </w:rPr>
        <w:tab/>
        <w:t xml:space="preserve">во однос на борбата против корупцијата, да го спроведе новото законодавство за спречување перење пари и финансирање тероризам во согласност со </w:t>
      </w:r>
      <w:r w:rsidRPr="00A84F18">
        <w:rPr>
          <w:rFonts w:ascii="Times New Roman" w:hAnsi="Times New Roman"/>
          <w:i/>
          <w:iCs/>
          <w:color w:val="000000"/>
          <w:sz w:val="24"/>
          <w:szCs w:val="24"/>
        </w:rPr>
        <w:t>правото</w:t>
      </w:r>
      <w:r w:rsidRPr="00A84F18">
        <w:rPr>
          <w:rFonts w:ascii="Times New Roman" w:hAnsi="Times New Roman"/>
          <w:color w:val="000000"/>
          <w:sz w:val="24"/>
          <w:szCs w:val="24"/>
        </w:rPr>
        <w:t xml:space="preserve"> на ЕУ, вклучително и со донесување на законодавството за спроведување и со надградба на регистарот на вистински сопственици.</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Северна Македонија задржа некои ограничувања во однос на </w:t>
      </w:r>
      <w:r w:rsidRPr="00A84F18">
        <w:rPr>
          <w:rFonts w:ascii="Times New Roman" w:hAnsi="Times New Roman"/>
          <w:b/>
          <w:bCs/>
          <w:color w:val="000000"/>
          <w:sz w:val="24"/>
          <w:szCs w:val="24"/>
        </w:rPr>
        <w:t xml:space="preserve">движењето на капитал и </w:t>
      </w:r>
      <w:r>
        <w:rPr>
          <w:rFonts w:ascii="Times New Roman" w:hAnsi="Times New Roman"/>
          <w:b/>
          <w:bCs/>
          <w:color w:val="000000"/>
          <w:sz w:val="24"/>
          <w:szCs w:val="24"/>
        </w:rPr>
        <w:t xml:space="preserve">на </w:t>
      </w:r>
      <w:r w:rsidRPr="00A84F18">
        <w:rPr>
          <w:rFonts w:ascii="Times New Roman" w:hAnsi="Times New Roman"/>
          <w:b/>
          <w:bCs/>
          <w:color w:val="000000"/>
          <w:sz w:val="24"/>
          <w:szCs w:val="24"/>
        </w:rPr>
        <w:t>плаќањата</w:t>
      </w:r>
      <w:r w:rsidRPr="00A84F18">
        <w:rPr>
          <w:rFonts w:ascii="Times New Roman" w:hAnsi="Times New Roman"/>
          <w:color w:val="000000"/>
          <w:sz w:val="24"/>
          <w:szCs w:val="24"/>
        </w:rPr>
        <w:t xml:space="preserve">. На пример, отворањето банкарска сметка во странство од резидент сѐ уште </w:t>
      </w:r>
      <w:r>
        <w:rPr>
          <w:rFonts w:ascii="Times New Roman" w:hAnsi="Times New Roman"/>
          <w:color w:val="000000"/>
          <w:sz w:val="24"/>
          <w:szCs w:val="24"/>
        </w:rPr>
        <w:t>подложи</w:t>
      </w:r>
      <w:r w:rsidRPr="00A84F18">
        <w:rPr>
          <w:rFonts w:ascii="Times New Roman" w:hAnsi="Times New Roman"/>
          <w:color w:val="000000"/>
          <w:sz w:val="24"/>
          <w:szCs w:val="24"/>
        </w:rPr>
        <w:t xml:space="preserve"> на ограничувања и одобрение. Истите услови важат и ако резиденти сакаат да добијат осигурителни услуги во странство. Нерезиденти сѐ уште не може да стекнуваат земјоделско земјиште. Така, Северна Македонија заостанува во спроведувањето на своите обврски според Спогодбата за стабилизација и асоцијација. Земјата треба дополнително да го усоврши и да почне да го спроведува патоказот за примената на правилата на ЕУ во оваа област, во согласност со обврските од Спогодбата за стабилизација и асоцијација. Северна Македонија води регистар на директни инвестиции и регистар на инвестиции во недвижности и за нерезиденти што инвестираат во Северна Македонија и за резиденти што инвестираат во странство. Регистрите се главно за статистички цели и не може да се блокираат трансакции затоа што не се регистрирани во нив.</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Во јануари 2023 година во сила влезе Законот за </w:t>
      </w:r>
      <w:r w:rsidRPr="00A84F18">
        <w:rPr>
          <w:rFonts w:ascii="Times New Roman" w:hAnsi="Times New Roman"/>
          <w:b/>
          <w:bCs/>
          <w:color w:val="000000"/>
          <w:sz w:val="24"/>
          <w:szCs w:val="24"/>
        </w:rPr>
        <w:t>платежни услуги и платни системи</w:t>
      </w:r>
      <w:r w:rsidRPr="00A84F18">
        <w:rPr>
          <w:rFonts w:ascii="Times New Roman" w:hAnsi="Times New Roman"/>
          <w:color w:val="000000"/>
          <w:sz w:val="24"/>
          <w:szCs w:val="24"/>
        </w:rPr>
        <w:t>. Постигнат е добар напредок во однос на усогласувањето на националното законодавство со правилата на ЕУ за платежни услуги, така што Народна</w:t>
      </w:r>
      <w:r>
        <w:rPr>
          <w:rFonts w:ascii="Times New Roman" w:hAnsi="Times New Roman"/>
          <w:color w:val="000000"/>
          <w:sz w:val="24"/>
          <w:szCs w:val="24"/>
        </w:rPr>
        <w:t>та</w:t>
      </w:r>
      <w:r w:rsidRPr="00A84F18">
        <w:rPr>
          <w:rFonts w:ascii="Times New Roman" w:hAnsi="Times New Roman"/>
          <w:color w:val="000000"/>
          <w:sz w:val="24"/>
          <w:szCs w:val="24"/>
        </w:rPr>
        <w:t xml:space="preserve"> банка донесе значителен број акти за спроведување </w:t>
      </w:r>
      <w:r>
        <w:rPr>
          <w:rFonts w:ascii="Times New Roman" w:hAnsi="Times New Roman"/>
          <w:color w:val="000000"/>
          <w:sz w:val="24"/>
          <w:szCs w:val="24"/>
        </w:rPr>
        <w:t xml:space="preserve">на </w:t>
      </w:r>
      <w:r w:rsidRPr="00A84F18">
        <w:rPr>
          <w:rFonts w:ascii="Times New Roman" w:hAnsi="Times New Roman"/>
          <w:color w:val="000000"/>
          <w:sz w:val="24"/>
          <w:szCs w:val="24"/>
        </w:rPr>
        <w:t>лиценцирање платежни институции, за институции за е-пари и оператори на платни системи, како и за нивен надзор. Покрај тоа, преземени се чекори за да се олесни споредбата на надоместоците меѓу давателите на платежни услуги. Во согласност со барањата на петтата Директива за спречување перење пари (АМЛ), според Законот за платежни услуги и платни системи се планира да се формира унифициран регистар на банкарски сметки под Централниот регистар.</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Новиот Закон за борба против перењето пари и финансирањето тероризам, што има за цел целосно да се усогласи со петтата Директива АМЛ, влезе во сила во јули 2022 година. По посетата на Комитетот на експерти на Советот на Европа за евалуација на мерките за АМЛ и финансирање на тероризмот во септември 2022 година, на пленарната седница на MONEYVAL (Комитет на експерти за евалуација на системите за спречување перење пари и финансирање тероризам при Советот на Европа) беше донесен петтиот извештај на MONEYVAL во мај 2023 година. Во тој извештај Северна Македонија е оценета како усогласена или во голема мера усогласена за 28 од 40 препораки на ФАТФ. Меѓу утврдените недостатоци се и мал број осудителни пресуди во врска со перење пари, загриженост за пропорционалноста, дестимулирачкиот ефект и ефективноста на паричните санкции, квалитетот на податоците на Регистарот на вистински сопственици, недостатокот од санкции за престапи во врска со основни информации или информации за вистински сопственици, техничките недостатоци при конфискација, недостатокот на систематски пристап за спроведување финансиска истрага и мал број извештаи за сомнителни трансакции во споредба со ризикот, контекстот и големината на земјата. Управата за финансиско разузнавање подготви ад хок процени за специфичните трендови, </w:t>
      </w:r>
      <w:r>
        <w:rPr>
          <w:rFonts w:ascii="Times New Roman" w:hAnsi="Times New Roman"/>
          <w:color w:val="000000"/>
          <w:sz w:val="24"/>
          <w:szCs w:val="24"/>
        </w:rPr>
        <w:t>какви</w:t>
      </w:r>
      <w:r w:rsidRPr="00A84F18">
        <w:rPr>
          <w:rFonts w:ascii="Times New Roman" w:hAnsi="Times New Roman"/>
          <w:color w:val="000000"/>
          <w:sz w:val="24"/>
          <w:szCs w:val="24"/>
        </w:rPr>
        <w:t xml:space="preserve"> што се заканите од перење пари, финансирање на пролиферацијата и трансакциите извршени преку даватели на услуги за брз трансфер на пари. Исто така, таа ги подобри и своите ИТ-апликации. Во 2022 година </w:t>
      </w:r>
      <w:r>
        <w:rPr>
          <w:rFonts w:ascii="Times New Roman" w:hAnsi="Times New Roman"/>
          <w:color w:val="000000"/>
          <w:sz w:val="24"/>
          <w:szCs w:val="24"/>
        </w:rPr>
        <w:t>задолжените субјекти</w:t>
      </w:r>
      <w:r w:rsidRPr="00A84F18">
        <w:rPr>
          <w:rFonts w:ascii="Times New Roman" w:hAnsi="Times New Roman"/>
          <w:color w:val="000000"/>
          <w:sz w:val="24"/>
          <w:szCs w:val="24"/>
        </w:rPr>
        <w:t xml:space="preserve"> поднесоа 258 извештаи за сомнителни трансакции (315 во 2021 година). Управата испратила 44 извештаи (92 во 2021 година) за случаи на перење пари и финансирање тероризам и 159 известувања (305 во 2021 година) за други случаи до органите за спроведување на законите. (Види, исто така, Поглавје 23 – Правосудство и фундаментални права и Поглавје 24 – Правда, слобода и безбедност).</w:t>
      </w:r>
    </w:p>
    <w:p w:rsidR="00B76D43" w:rsidRPr="00A84F18" w:rsidRDefault="00B76D43" w:rsidP="008D6AE4">
      <w:pPr>
        <w:pStyle w:val="Heading2"/>
      </w:pPr>
      <w:bookmarkStart w:id="58" w:name="bookmark39"/>
      <w:bookmarkStart w:id="59" w:name="_Toc150411745"/>
      <w:r w:rsidRPr="00A84F18">
        <w:t>П</w:t>
      </w:r>
      <w:bookmarkEnd w:id="58"/>
      <w:r w:rsidRPr="00A84F18">
        <w:t>оглавје 6: Право на трговски друштва</w:t>
      </w:r>
      <w:bookmarkEnd w:id="59"/>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i/>
          <w:iCs/>
          <w:color w:val="000000"/>
          <w:sz w:val="24"/>
          <w:szCs w:val="24"/>
        </w:rPr>
        <w:t xml:space="preserve">ЕУ има заеднички правила за барањата за основање, регистрирање и обелоденување на едно трговско друштво, со дополнителни правила за сметководствено и </w:t>
      </w:r>
      <w:r>
        <w:rPr>
          <w:rFonts w:ascii="Times New Roman" w:hAnsi="Times New Roman"/>
          <w:i/>
          <w:iCs/>
          <w:color w:val="000000"/>
          <w:sz w:val="24"/>
          <w:szCs w:val="24"/>
        </w:rPr>
        <w:t xml:space="preserve">за </w:t>
      </w:r>
      <w:r w:rsidRPr="00A84F18">
        <w:rPr>
          <w:rFonts w:ascii="Times New Roman" w:hAnsi="Times New Roman"/>
          <w:i/>
          <w:iCs/>
          <w:color w:val="000000"/>
          <w:sz w:val="24"/>
          <w:szCs w:val="24"/>
        </w:rPr>
        <w:t>финансиско известување и законска ревизија.</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Земјата има </w:t>
      </w:r>
      <w:r w:rsidRPr="00A84F18">
        <w:rPr>
          <w:rFonts w:ascii="Times New Roman" w:hAnsi="Times New Roman"/>
          <w:b/>
          <w:bCs/>
          <w:color w:val="000000"/>
          <w:sz w:val="24"/>
          <w:szCs w:val="24"/>
        </w:rPr>
        <w:t xml:space="preserve">добро ниво на подготвеност </w:t>
      </w:r>
      <w:r w:rsidRPr="00A84F18">
        <w:rPr>
          <w:rFonts w:ascii="Times New Roman" w:hAnsi="Times New Roman"/>
          <w:color w:val="000000"/>
          <w:sz w:val="24"/>
          <w:szCs w:val="24"/>
        </w:rPr>
        <w:t xml:space="preserve">во областа на правото на трговски друштва. </w:t>
      </w:r>
      <w:r w:rsidRPr="00A84F18">
        <w:rPr>
          <w:rFonts w:ascii="Times New Roman" w:hAnsi="Times New Roman"/>
          <w:b/>
          <w:bCs/>
          <w:color w:val="000000"/>
          <w:sz w:val="24"/>
          <w:szCs w:val="24"/>
        </w:rPr>
        <w:t xml:space="preserve">Не е постигнат напредок </w:t>
      </w:r>
      <w:r w:rsidRPr="00A84F18">
        <w:rPr>
          <w:rFonts w:ascii="Times New Roman" w:hAnsi="Times New Roman"/>
          <w:color w:val="000000"/>
          <w:sz w:val="24"/>
          <w:szCs w:val="24"/>
        </w:rPr>
        <w:t xml:space="preserve">во текот на извештајниот период. Земјата треба да ги засили заложбите за усогласување на своето законодавство со </w:t>
      </w:r>
      <w:r w:rsidRPr="00721A72">
        <w:rPr>
          <w:rFonts w:ascii="Times New Roman" w:hAnsi="Times New Roman"/>
          <w:i/>
          <w:iCs/>
          <w:color w:val="000000"/>
          <w:sz w:val="24"/>
          <w:szCs w:val="24"/>
        </w:rPr>
        <w:t>правото</w:t>
      </w:r>
      <w:r w:rsidRPr="00A84F18">
        <w:rPr>
          <w:rFonts w:ascii="Times New Roman" w:hAnsi="Times New Roman"/>
          <w:color w:val="000000"/>
          <w:sz w:val="24"/>
          <w:szCs w:val="24"/>
        </w:rPr>
        <w:t xml:space="preserve"> на ЕУ во оваа област.</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Бидејќи препораките од минатата година не беа целосно спроведени, тие остануваат во важност. Во наредната година, Северна Македонија особено треба:</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w:t>
      </w:r>
      <w:r w:rsidRPr="00A84F18">
        <w:rPr>
          <w:rFonts w:ascii="Times New Roman" w:hAnsi="Times New Roman"/>
          <w:color w:val="000000"/>
          <w:sz w:val="24"/>
          <w:szCs w:val="24"/>
        </w:rPr>
        <w:tab/>
        <w:t xml:space="preserve">да го усогласи националното законодавство со </w:t>
      </w:r>
      <w:r w:rsidRPr="00A84F18">
        <w:rPr>
          <w:rFonts w:ascii="Times New Roman" w:hAnsi="Times New Roman"/>
          <w:i/>
          <w:iCs/>
          <w:color w:val="000000"/>
          <w:sz w:val="24"/>
          <w:szCs w:val="24"/>
        </w:rPr>
        <w:t xml:space="preserve">правото </w:t>
      </w:r>
      <w:r w:rsidRPr="00A84F18">
        <w:rPr>
          <w:rFonts w:ascii="Times New Roman" w:hAnsi="Times New Roman"/>
          <w:color w:val="000000"/>
          <w:sz w:val="24"/>
          <w:szCs w:val="24"/>
        </w:rPr>
        <w:t>на ЕУ за поттикнување долгорочен ангажман на акционерите, за прекугранични конверзии, спојувања и поделби и за употреба на дигитални алатки и процеси во правото на трговски друштва;</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w:t>
      </w:r>
      <w:r w:rsidRPr="00A84F18">
        <w:rPr>
          <w:rFonts w:ascii="Times New Roman" w:hAnsi="Times New Roman"/>
          <w:color w:val="000000"/>
          <w:sz w:val="24"/>
          <w:szCs w:val="24"/>
        </w:rPr>
        <w:tab/>
        <w:t xml:space="preserve">да донесе закони за сметководство и </w:t>
      </w:r>
      <w:r>
        <w:rPr>
          <w:rFonts w:ascii="Times New Roman" w:hAnsi="Times New Roman"/>
          <w:color w:val="000000"/>
          <w:sz w:val="24"/>
          <w:szCs w:val="24"/>
        </w:rPr>
        <w:t xml:space="preserve">за </w:t>
      </w:r>
      <w:r w:rsidRPr="00A84F18">
        <w:rPr>
          <w:rFonts w:ascii="Times New Roman" w:hAnsi="Times New Roman"/>
          <w:color w:val="000000"/>
          <w:sz w:val="24"/>
          <w:szCs w:val="24"/>
        </w:rPr>
        <w:t xml:space="preserve">ревизија што ќе бидат усогласени со најновото </w:t>
      </w:r>
      <w:r w:rsidRPr="00A84F18">
        <w:rPr>
          <w:rFonts w:ascii="Times New Roman" w:hAnsi="Times New Roman"/>
          <w:i/>
          <w:iCs/>
          <w:color w:val="000000"/>
          <w:sz w:val="24"/>
          <w:szCs w:val="24"/>
        </w:rPr>
        <w:t xml:space="preserve">право </w:t>
      </w:r>
      <w:r w:rsidRPr="00A84F18">
        <w:rPr>
          <w:rFonts w:ascii="Times New Roman" w:hAnsi="Times New Roman"/>
          <w:color w:val="000000"/>
          <w:sz w:val="24"/>
          <w:szCs w:val="24"/>
        </w:rPr>
        <w:t xml:space="preserve">на ЕУ во овие области, да вклучи зајакнување на улогата и </w:t>
      </w:r>
      <w:r>
        <w:rPr>
          <w:rFonts w:ascii="Times New Roman" w:hAnsi="Times New Roman"/>
          <w:color w:val="000000"/>
          <w:sz w:val="24"/>
          <w:szCs w:val="24"/>
        </w:rPr>
        <w:t xml:space="preserve">на </w:t>
      </w:r>
      <w:r w:rsidRPr="00A84F18">
        <w:rPr>
          <w:rFonts w:ascii="Times New Roman" w:hAnsi="Times New Roman"/>
          <w:color w:val="000000"/>
          <w:sz w:val="24"/>
          <w:szCs w:val="24"/>
        </w:rPr>
        <w:t>капацитетот на Советот за унапредување и надзор на ревизијата.</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Во однос на </w:t>
      </w:r>
      <w:r w:rsidRPr="00A84F18">
        <w:rPr>
          <w:rFonts w:ascii="Times New Roman" w:hAnsi="Times New Roman"/>
          <w:b/>
          <w:bCs/>
          <w:color w:val="000000"/>
          <w:sz w:val="24"/>
          <w:szCs w:val="24"/>
        </w:rPr>
        <w:t>правото на трговски друштва и корпоративното управување</w:t>
      </w:r>
      <w:r w:rsidRPr="00A84F18">
        <w:rPr>
          <w:rFonts w:ascii="Times New Roman" w:hAnsi="Times New Roman"/>
          <w:color w:val="000000"/>
          <w:sz w:val="24"/>
          <w:szCs w:val="24"/>
        </w:rPr>
        <w:t xml:space="preserve">, усогласувањето со Директивата за правото на трговски друштва е доста напреднато во однос на формирањето, </w:t>
      </w:r>
      <w:r>
        <w:rPr>
          <w:rFonts w:ascii="Times New Roman" w:hAnsi="Times New Roman"/>
          <w:color w:val="000000"/>
          <w:sz w:val="24"/>
          <w:szCs w:val="24"/>
        </w:rPr>
        <w:t xml:space="preserve">на </w:t>
      </w:r>
      <w:r w:rsidRPr="00A84F18">
        <w:rPr>
          <w:rFonts w:ascii="Times New Roman" w:hAnsi="Times New Roman"/>
          <w:color w:val="000000"/>
          <w:sz w:val="24"/>
          <w:szCs w:val="24"/>
        </w:rPr>
        <w:t xml:space="preserve">регистрацијата и </w:t>
      </w:r>
      <w:r>
        <w:rPr>
          <w:rFonts w:ascii="Times New Roman" w:hAnsi="Times New Roman"/>
          <w:color w:val="000000"/>
          <w:sz w:val="24"/>
          <w:szCs w:val="24"/>
        </w:rPr>
        <w:t xml:space="preserve">на </w:t>
      </w:r>
      <w:r w:rsidRPr="00A84F18">
        <w:rPr>
          <w:rFonts w:ascii="Times New Roman" w:hAnsi="Times New Roman"/>
          <w:color w:val="000000"/>
          <w:sz w:val="24"/>
          <w:szCs w:val="24"/>
        </w:rPr>
        <w:t>домашните спојувања компании. Централниот регистар има модерен едношалтерски систем преку кој регистрацијата на друштво и поднесувањето документи</w:t>
      </w:r>
      <w:r>
        <w:rPr>
          <w:rFonts w:ascii="Times New Roman" w:hAnsi="Times New Roman"/>
          <w:color w:val="000000"/>
          <w:sz w:val="24"/>
          <w:szCs w:val="24"/>
        </w:rPr>
        <w:t xml:space="preserve"> – </w:t>
      </w:r>
      <w:r w:rsidRPr="00A84F18">
        <w:rPr>
          <w:rFonts w:ascii="Times New Roman" w:hAnsi="Times New Roman"/>
          <w:color w:val="000000"/>
          <w:sz w:val="24"/>
          <w:szCs w:val="24"/>
        </w:rPr>
        <w:t>вклучувајќи и финансиски документи</w:t>
      </w:r>
      <w:r>
        <w:rPr>
          <w:rFonts w:ascii="Times New Roman" w:hAnsi="Times New Roman"/>
          <w:color w:val="000000"/>
          <w:sz w:val="24"/>
          <w:szCs w:val="24"/>
        </w:rPr>
        <w:t xml:space="preserve"> – </w:t>
      </w:r>
      <w:r w:rsidRPr="00A84F18">
        <w:rPr>
          <w:rFonts w:ascii="Times New Roman" w:hAnsi="Times New Roman"/>
          <w:color w:val="000000"/>
          <w:sz w:val="24"/>
          <w:szCs w:val="24"/>
        </w:rPr>
        <w:t xml:space="preserve">може да се врши целосно онлајн. Во иднина, националниот деловен регистар треба да биде технички подготвен за да се поврзе со Системот за интерконекција на деловните регистри на ЕУ. Кодексот за корпоративно управување од 2021 година е задолжителен само за котирани друштва што исполнуваат одредени критериуми. Националното законодавство е усогласено, во голема мера, со </w:t>
      </w:r>
      <w:r w:rsidRPr="00A84F18">
        <w:rPr>
          <w:rFonts w:ascii="Times New Roman" w:hAnsi="Times New Roman"/>
          <w:i/>
          <w:iCs/>
          <w:color w:val="000000"/>
          <w:sz w:val="24"/>
          <w:szCs w:val="24"/>
        </w:rPr>
        <w:t xml:space="preserve">правото </w:t>
      </w:r>
      <w:r w:rsidRPr="00A84F18">
        <w:rPr>
          <w:rFonts w:ascii="Times New Roman" w:hAnsi="Times New Roman"/>
          <w:color w:val="000000"/>
          <w:sz w:val="24"/>
          <w:szCs w:val="24"/>
        </w:rPr>
        <w:t>на ЕУ во однос на правните форми на Societas Europaea и на Европската групација за економски интерес, додека нацрт-</w:t>
      </w:r>
      <w:r>
        <w:rPr>
          <w:rFonts w:ascii="Times New Roman" w:hAnsi="Times New Roman"/>
          <w:color w:val="000000"/>
          <w:sz w:val="24"/>
          <w:szCs w:val="24"/>
        </w:rPr>
        <w:t>законодавството</w:t>
      </w:r>
      <w:r w:rsidRPr="00A84F18">
        <w:rPr>
          <w:rFonts w:ascii="Times New Roman" w:hAnsi="Times New Roman"/>
          <w:color w:val="000000"/>
          <w:sz w:val="24"/>
          <w:szCs w:val="24"/>
        </w:rPr>
        <w:t xml:space="preserve"> за делумно усогласување со </w:t>
      </w:r>
      <w:r w:rsidRPr="00A84F18">
        <w:rPr>
          <w:rFonts w:ascii="Times New Roman" w:hAnsi="Times New Roman"/>
          <w:i/>
          <w:iCs/>
          <w:color w:val="000000"/>
          <w:sz w:val="24"/>
          <w:szCs w:val="24"/>
        </w:rPr>
        <w:t xml:space="preserve">правото </w:t>
      </w:r>
      <w:r w:rsidRPr="00A84F18">
        <w:rPr>
          <w:rFonts w:ascii="Times New Roman" w:hAnsi="Times New Roman"/>
          <w:color w:val="000000"/>
          <w:sz w:val="24"/>
          <w:szCs w:val="24"/>
        </w:rPr>
        <w:t>на ЕУ за Европско кооперативно друштво</w:t>
      </w:r>
      <w:r>
        <w:rPr>
          <w:rFonts w:ascii="Times New Roman" w:hAnsi="Times New Roman"/>
          <w:color w:val="000000"/>
          <w:sz w:val="24"/>
          <w:szCs w:val="24"/>
        </w:rPr>
        <w:t>,</w:t>
      </w:r>
      <w:r w:rsidRPr="00A84F18">
        <w:rPr>
          <w:rFonts w:ascii="Times New Roman" w:hAnsi="Times New Roman"/>
          <w:color w:val="000000"/>
          <w:sz w:val="24"/>
          <w:szCs w:val="24"/>
        </w:rPr>
        <w:t xml:space="preserve"> чека да биде донесено од Собранието. Потребно е натамошно усогласување со </w:t>
      </w:r>
      <w:r w:rsidRPr="00A84F18">
        <w:rPr>
          <w:rFonts w:ascii="Times New Roman" w:hAnsi="Times New Roman"/>
          <w:i/>
          <w:iCs/>
          <w:color w:val="000000"/>
          <w:sz w:val="24"/>
          <w:szCs w:val="24"/>
        </w:rPr>
        <w:t xml:space="preserve">правото </w:t>
      </w:r>
      <w:r w:rsidRPr="00A84F18">
        <w:rPr>
          <w:rFonts w:ascii="Times New Roman" w:hAnsi="Times New Roman"/>
          <w:color w:val="000000"/>
          <w:sz w:val="24"/>
          <w:szCs w:val="24"/>
        </w:rPr>
        <w:t>на ЕУ за прекугранични операции (спојувања, поделби, преобразби), како и со правилата за поттикнување долгорочен ангажман на акционерите (Директива од 2017 година) и со Директивата за родова еднаквост во одборите на директори од 2022 година.</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Во однос на </w:t>
      </w:r>
      <w:r w:rsidRPr="00A84F18">
        <w:rPr>
          <w:rFonts w:ascii="Times New Roman" w:hAnsi="Times New Roman"/>
          <w:b/>
          <w:bCs/>
          <w:color w:val="000000"/>
          <w:sz w:val="24"/>
          <w:szCs w:val="24"/>
        </w:rPr>
        <w:t>известувањето на друштвата</w:t>
      </w:r>
      <w:r w:rsidRPr="00721A72">
        <w:rPr>
          <w:rFonts w:ascii="Times New Roman" w:hAnsi="Times New Roman"/>
          <w:color w:val="000000"/>
          <w:sz w:val="24"/>
          <w:szCs w:val="24"/>
        </w:rPr>
        <w:t>,</w:t>
      </w:r>
      <w:r w:rsidRPr="00A84F18">
        <w:rPr>
          <w:rFonts w:ascii="Times New Roman" w:hAnsi="Times New Roman"/>
          <w:b/>
          <w:bCs/>
          <w:color w:val="000000"/>
          <w:sz w:val="24"/>
          <w:szCs w:val="24"/>
        </w:rPr>
        <w:t xml:space="preserve"> </w:t>
      </w:r>
      <w:r w:rsidRPr="00A84F18">
        <w:rPr>
          <w:rFonts w:ascii="Times New Roman" w:hAnsi="Times New Roman"/>
          <w:color w:val="000000"/>
          <w:sz w:val="24"/>
          <w:szCs w:val="24"/>
        </w:rPr>
        <w:t>во процес на донесување</w:t>
      </w:r>
      <w:r w:rsidRPr="00A84F18" w:rsidDel="00174036">
        <w:rPr>
          <w:rFonts w:ascii="Times New Roman" w:hAnsi="Times New Roman"/>
          <w:color w:val="000000"/>
          <w:sz w:val="24"/>
          <w:szCs w:val="24"/>
        </w:rPr>
        <w:t xml:space="preserve"> </w:t>
      </w:r>
      <w:r>
        <w:rPr>
          <w:rFonts w:ascii="Times New Roman" w:hAnsi="Times New Roman"/>
          <w:color w:val="000000"/>
          <w:sz w:val="24"/>
          <w:szCs w:val="24"/>
        </w:rPr>
        <w:t xml:space="preserve">е </w:t>
      </w:r>
      <w:r w:rsidRPr="00A84F18">
        <w:rPr>
          <w:rFonts w:ascii="Times New Roman" w:hAnsi="Times New Roman"/>
          <w:color w:val="000000"/>
          <w:sz w:val="24"/>
          <w:szCs w:val="24"/>
        </w:rPr>
        <w:t>Нацрт-</w:t>
      </w:r>
      <w:r>
        <w:rPr>
          <w:rFonts w:ascii="Times New Roman" w:hAnsi="Times New Roman"/>
          <w:color w:val="000000"/>
          <w:sz w:val="24"/>
          <w:szCs w:val="24"/>
        </w:rPr>
        <w:t>з</w:t>
      </w:r>
      <w:r w:rsidRPr="00A84F18">
        <w:rPr>
          <w:rFonts w:ascii="Times New Roman" w:hAnsi="Times New Roman"/>
          <w:color w:val="000000"/>
          <w:sz w:val="24"/>
          <w:szCs w:val="24"/>
        </w:rPr>
        <w:t xml:space="preserve">аконот за сметководство насочен кон натамошно усогласување со правото на ЕУ во оваа област. Северна Македонија ќе треба да се усогласи со најновото право на ЕУ (од 2022 година) за известување за корпоративна одржливост. Меѓународните стандарди за финансиско известување важат за сите трговски друштва, без намалени обврски за малите и средните претпријатија, како што е предвидено во правото на ЕУ. Иако одредени одредби од </w:t>
      </w:r>
      <w:r w:rsidRPr="00A84F18">
        <w:rPr>
          <w:rFonts w:ascii="Times New Roman" w:hAnsi="Times New Roman"/>
          <w:i/>
          <w:iCs/>
          <w:color w:val="000000"/>
          <w:sz w:val="24"/>
          <w:szCs w:val="24"/>
        </w:rPr>
        <w:t xml:space="preserve">правото </w:t>
      </w:r>
      <w:r w:rsidRPr="00A84F18">
        <w:rPr>
          <w:rFonts w:ascii="Times New Roman" w:hAnsi="Times New Roman"/>
          <w:color w:val="000000"/>
          <w:sz w:val="24"/>
          <w:szCs w:val="24"/>
        </w:rPr>
        <w:t>на ЕУ за барања за транспарентност за котираните друштва се веќе добро опфатени во тековното национално законодавство, потребно е понатамошно усогласување во оваа област. Исто така, сѐ уште се очекува донесување на новиот Нацрт-</w:t>
      </w:r>
      <w:r>
        <w:rPr>
          <w:rFonts w:ascii="Times New Roman" w:hAnsi="Times New Roman"/>
          <w:color w:val="000000"/>
          <w:sz w:val="24"/>
          <w:szCs w:val="24"/>
        </w:rPr>
        <w:t>з</w:t>
      </w:r>
      <w:r w:rsidRPr="00A84F18">
        <w:rPr>
          <w:rFonts w:ascii="Times New Roman" w:hAnsi="Times New Roman"/>
          <w:color w:val="000000"/>
          <w:sz w:val="24"/>
          <w:szCs w:val="24"/>
        </w:rPr>
        <w:t xml:space="preserve">акон за ревизија заради постигнување поголема усогласеност со </w:t>
      </w:r>
      <w:r w:rsidRPr="00A84F18">
        <w:rPr>
          <w:rFonts w:ascii="Times New Roman" w:hAnsi="Times New Roman"/>
          <w:i/>
          <w:iCs/>
          <w:color w:val="000000"/>
          <w:sz w:val="24"/>
          <w:szCs w:val="24"/>
        </w:rPr>
        <w:t>правото</w:t>
      </w:r>
      <w:r w:rsidRPr="00A84F18">
        <w:rPr>
          <w:rFonts w:ascii="Times New Roman" w:hAnsi="Times New Roman"/>
          <w:color w:val="000000"/>
          <w:sz w:val="24"/>
          <w:szCs w:val="24"/>
        </w:rPr>
        <w:t xml:space="preserve"> на ЕУ, вклучувајќи ја и областа на истраги и санкции. Во моментот не постои тело со крајна одговорност за законски ревизорски надзор, како што се бара со Директивата за ревизија на ЕУ. Видливоста и севкупните резултати на Советот за унапредување и надзор на ревизијата и понатаму се слаби. Потребни се заложби за да се осигури неговата независност.</w:t>
      </w:r>
    </w:p>
    <w:p w:rsidR="00B76D43" w:rsidRPr="00A84F18" w:rsidRDefault="00B76D43" w:rsidP="008D6AE4">
      <w:pPr>
        <w:pStyle w:val="Heading2"/>
      </w:pPr>
      <w:bookmarkStart w:id="60" w:name="bookmark40"/>
      <w:bookmarkStart w:id="61" w:name="_Toc150411746"/>
      <w:r w:rsidRPr="00A84F18">
        <w:t>П</w:t>
      </w:r>
      <w:bookmarkEnd w:id="60"/>
      <w:r w:rsidRPr="00A84F18">
        <w:t>оглавје 7: Право на интелектуална сопственост</w:t>
      </w:r>
      <w:bookmarkEnd w:id="61"/>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i/>
          <w:iCs/>
          <w:color w:val="000000"/>
          <w:sz w:val="24"/>
          <w:szCs w:val="24"/>
        </w:rPr>
        <w:t xml:space="preserve">ЕУ ги усогласи правилата за правна заштита на правата на интелектуална сопственост (ПИС), </w:t>
      </w:r>
      <w:r>
        <w:rPr>
          <w:rFonts w:ascii="Times New Roman" w:hAnsi="Times New Roman"/>
          <w:i/>
          <w:iCs/>
          <w:color w:val="000000"/>
          <w:sz w:val="24"/>
          <w:szCs w:val="24"/>
        </w:rPr>
        <w:t xml:space="preserve">на </w:t>
      </w:r>
      <w:r w:rsidRPr="00A84F18">
        <w:rPr>
          <w:rFonts w:ascii="Times New Roman" w:hAnsi="Times New Roman"/>
          <w:i/>
          <w:iCs/>
          <w:color w:val="000000"/>
          <w:sz w:val="24"/>
          <w:szCs w:val="24"/>
        </w:rPr>
        <w:t xml:space="preserve">авторските права и </w:t>
      </w:r>
      <w:r>
        <w:rPr>
          <w:rFonts w:ascii="Times New Roman" w:hAnsi="Times New Roman"/>
          <w:i/>
          <w:iCs/>
          <w:color w:val="000000"/>
          <w:sz w:val="24"/>
          <w:szCs w:val="24"/>
        </w:rPr>
        <w:t xml:space="preserve">на </w:t>
      </w:r>
      <w:r w:rsidRPr="00A84F18">
        <w:rPr>
          <w:rFonts w:ascii="Times New Roman" w:hAnsi="Times New Roman"/>
          <w:i/>
          <w:iCs/>
          <w:color w:val="000000"/>
          <w:sz w:val="24"/>
          <w:szCs w:val="24"/>
        </w:rPr>
        <w:t xml:space="preserve">сродните права. Правилата за правна заштита на ПИС опфаќаат, на пример, патенти и трговски марки, дизајни, биотехнолошки пронајдоци и фармацевтски производи. Правилата за правна заштита на авторските права и </w:t>
      </w:r>
      <w:r>
        <w:rPr>
          <w:rFonts w:ascii="Times New Roman" w:hAnsi="Times New Roman"/>
          <w:i/>
          <w:iCs/>
          <w:color w:val="000000"/>
          <w:sz w:val="24"/>
          <w:szCs w:val="24"/>
        </w:rPr>
        <w:t xml:space="preserve">на </w:t>
      </w:r>
      <w:r w:rsidRPr="00A84F18">
        <w:rPr>
          <w:rFonts w:ascii="Times New Roman" w:hAnsi="Times New Roman"/>
          <w:i/>
          <w:iCs/>
          <w:color w:val="000000"/>
          <w:sz w:val="24"/>
          <w:szCs w:val="24"/>
        </w:rPr>
        <w:t>сродните права опфаќаат, на пример, книги, филмови, софтвер и радиодифузија.</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Северна Македонија и понатаму е </w:t>
      </w:r>
      <w:r w:rsidRPr="00A84F18">
        <w:rPr>
          <w:rFonts w:ascii="Times New Roman" w:hAnsi="Times New Roman"/>
          <w:b/>
          <w:bCs/>
          <w:color w:val="000000"/>
          <w:sz w:val="24"/>
          <w:szCs w:val="24"/>
        </w:rPr>
        <w:t xml:space="preserve">умерено подготвена </w:t>
      </w:r>
      <w:r w:rsidRPr="00A84F18">
        <w:rPr>
          <w:rFonts w:ascii="Times New Roman" w:hAnsi="Times New Roman"/>
          <w:color w:val="000000"/>
          <w:sz w:val="24"/>
          <w:szCs w:val="24"/>
        </w:rPr>
        <w:t xml:space="preserve">во областа на правото на интелектуална сопственост. </w:t>
      </w:r>
      <w:r w:rsidRPr="00A84F18">
        <w:rPr>
          <w:rFonts w:ascii="Times New Roman" w:hAnsi="Times New Roman"/>
          <w:b/>
          <w:bCs/>
          <w:color w:val="000000"/>
          <w:sz w:val="24"/>
          <w:szCs w:val="24"/>
        </w:rPr>
        <w:t xml:space="preserve">Не е постигнат напредок </w:t>
      </w:r>
      <w:r w:rsidRPr="00A84F18">
        <w:rPr>
          <w:rFonts w:ascii="Times New Roman" w:hAnsi="Times New Roman"/>
          <w:color w:val="000000"/>
          <w:sz w:val="24"/>
          <w:szCs w:val="24"/>
        </w:rPr>
        <w:t xml:space="preserve">во текот на извештајниот период. Потребни се дополнителни заложби за усогласување на законодавството со </w:t>
      </w:r>
      <w:r w:rsidRPr="00A84F18">
        <w:rPr>
          <w:rFonts w:ascii="Times New Roman" w:hAnsi="Times New Roman"/>
          <w:i/>
          <w:iCs/>
          <w:color w:val="000000"/>
          <w:sz w:val="24"/>
          <w:szCs w:val="24"/>
        </w:rPr>
        <w:t xml:space="preserve">правото </w:t>
      </w:r>
      <w:r w:rsidRPr="00A84F18">
        <w:rPr>
          <w:rFonts w:ascii="Times New Roman" w:hAnsi="Times New Roman"/>
          <w:color w:val="000000"/>
          <w:sz w:val="24"/>
          <w:szCs w:val="24"/>
        </w:rPr>
        <w:t>на ЕУ во оваа област.</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Со оглед на тоа што препораките од минатата година не беа спроведени, тие остануваат во важност. Во наредната година, Северна Македонија особено треба:</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w:t>
      </w:r>
      <w:r w:rsidRPr="00A84F18">
        <w:rPr>
          <w:rFonts w:ascii="Times New Roman" w:hAnsi="Times New Roman"/>
          <w:color w:val="000000"/>
          <w:sz w:val="24"/>
          <w:szCs w:val="24"/>
        </w:rPr>
        <w:tab/>
        <w:t>дополнително да ја подобри правната рамка во областа на авторски</w:t>
      </w:r>
      <w:r>
        <w:rPr>
          <w:rFonts w:ascii="Times New Roman" w:hAnsi="Times New Roman"/>
          <w:color w:val="000000"/>
          <w:sz w:val="24"/>
          <w:szCs w:val="24"/>
        </w:rPr>
        <w:t>те</w:t>
      </w:r>
      <w:r w:rsidRPr="00A84F18">
        <w:rPr>
          <w:rFonts w:ascii="Times New Roman" w:hAnsi="Times New Roman"/>
          <w:color w:val="000000"/>
          <w:sz w:val="24"/>
          <w:szCs w:val="24"/>
        </w:rPr>
        <w:t xml:space="preserve"> права и сродни</w:t>
      </w:r>
      <w:r>
        <w:rPr>
          <w:rFonts w:ascii="Times New Roman" w:hAnsi="Times New Roman"/>
          <w:color w:val="000000"/>
          <w:sz w:val="24"/>
          <w:szCs w:val="24"/>
        </w:rPr>
        <w:t>те</w:t>
      </w:r>
      <w:r w:rsidRPr="00A84F18">
        <w:rPr>
          <w:rFonts w:ascii="Times New Roman" w:hAnsi="Times New Roman"/>
          <w:color w:val="000000"/>
          <w:sz w:val="24"/>
          <w:szCs w:val="24"/>
        </w:rPr>
        <w:t xml:space="preserve"> права, особено преку усогласување со Директивата за управување со колективните права и со Директивата за </w:t>
      </w:r>
      <w:r w:rsidR="00652875">
        <w:rPr>
          <w:rFonts w:ascii="Times New Roman" w:hAnsi="Times New Roman"/>
          <w:color w:val="000000"/>
          <w:sz w:val="24"/>
          <w:szCs w:val="24"/>
        </w:rPr>
        <w:t xml:space="preserve">дозволено користење на </w:t>
      </w:r>
      <w:r w:rsidRPr="00A84F18">
        <w:rPr>
          <w:rFonts w:ascii="Times New Roman" w:hAnsi="Times New Roman"/>
          <w:color w:val="000000"/>
          <w:sz w:val="24"/>
          <w:szCs w:val="24"/>
        </w:rPr>
        <w:t>дела-сираци;</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w:t>
      </w:r>
      <w:r w:rsidRPr="00A84F18">
        <w:rPr>
          <w:rFonts w:ascii="Times New Roman" w:hAnsi="Times New Roman"/>
          <w:color w:val="000000"/>
          <w:sz w:val="24"/>
          <w:szCs w:val="24"/>
        </w:rPr>
        <w:tab/>
        <w:t>дополнително да ја подобри правната рамка во областа на права на индустриска сопственост, преку усогласување со Директивата за спроведување на правата на интелектуална сопственост и со Директивата за трговски тајни;</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w:t>
      </w:r>
      <w:r w:rsidRPr="00A84F18">
        <w:rPr>
          <w:rFonts w:ascii="Times New Roman" w:hAnsi="Times New Roman"/>
          <w:color w:val="000000"/>
          <w:sz w:val="24"/>
          <w:szCs w:val="24"/>
        </w:rPr>
        <w:tab/>
        <w:t>да ја спроведе Стратегијата за интелектуална сопственост за периодот 2021 – 2026 година и да ја оспособи онлајн информативната платформа за размена на податоци за права на интелектуална сопственост меѓу институциите за спроведување на законот.</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Во областа на </w:t>
      </w:r>
      <w:r w:rsidRPr="00A84F18">
        <w:rPr>
          <w:rFonts w:ascii="Times New Roman" w:hAnsi="Times New Roman"/>
          <w:b/>
          <w:bCs/>
          <w:color w:val="000000"/>
          <w:sz w:val="24"/>
          <w:szCs w:val="24"/>
        </w:rPr>
        <w:t>авторски права и сродни права</w:t>
      </w:r>
      <w:r w:rsidRPr="00721A72">
        <w:rPr>
          <w:rFonts w:ascii="Times New Roman" w:hAnsi="Times New Roman"/>
          <w:color w:val="000000"/>
          <w:sz w:val="24"/>
          <w:szCs w:val="24"/>
        </w:rPr>
        <w:t>,</w:t>
      </w:r>
      <w:r w:rsidRPr="00A84F18">
        <w:rPr>
          <w:rFonts w:ascii="Times New Roman" w:hAnsi="Times New Roman"/>
          <w:b/>
          <w:bCs/>
          <w:color w:val="000000"/>
          <w:sz w:val="24"/>
          <w:szCs w:val="24"/>
        </w:rPr>
        <w:t xml:space="preserve"> </w:t>
      </w:r>
      <w:r w:rsidRPr="00A84F18">
        <w:rPr>
          <w:rFonts w:ascii="Times New Roman" w:hAnsi="Times New Roman"/>
          <w:color w:val="000000"/>
          <w:sz w:val="24"/>
          <w:szCs w:val="24"/>
        </w:rPr>
        <w:t xml:space="preserve">и понатаму доцни донесувањето амандмани на Законот за авторски права за понатамошно негово усогласување со </w:t>
      </w:r>
      <w:r w:rsidRPr="00A84F18">
        <w:rPr>
          <w:rFonts w:ascii="Times New Roman" w:hAnsi="Times New Roman"/>
          <w:i/>
          <w:iCs/>
          <w:color w:val="000000"/>
          <w:sz w:val="24"/>
          <w:szCs w:val="24"/>
        </w:rPr>
        <w:t xml:space="preserve">правото </w:t>
      </w:r>
      <w:r w:rsidRPr="00721A72">
        <w:rPr>
          <w:rFonts w:ascii="Times New Roman" w:hAnsi="Times New Roman"/>
          <w:color w:val="000000"/>
          <w:sz w:val="24"/>
          <w:szCs w:val="24"/>
        </w:rPr>
        <w:t>на ЕУ</w:t>
      </w:r>
      <w:r w:rsidRPr="00A84F18">
        <w:rPr>
          <w:rFonts w:ascii="Times New Roman" w:hAnsi="Times New Roman"/>
          <w:i/>
          <w:iCs/>
          <w:color w:val="000000"/>
          <w:sz w:val="24"/>
          <w:szCs w:val="24"/>
        </w:rPr>
        <w:t xml:space="preserve">, </w:t>
      </w:r>
      <w:r w:rsidRPr="00A84F18">
        <w:rPr>
          <w:rFonts w:ascii="Times New Roman" w:hAnsi="Times New Roman"/>
          <w:color w:val="000000"/>
          <w:sz w:val="24"/>
          <w:szCs w:val="24"/>
        </w:rPr>
        <w:t xml:space="preserve">вклучувајќи го и системот за управување со колективни права, дела-сираци и одредени дозволени употреби на одредени дела и други дела заштитени со авторски права и сродни права, во корист на лица </w:t>
      </w:r>
      <w:r>
        <w:rPr>
          <w:rFonts w:ascii="Times New Roman" w:hAnsi="Times New Roman"/>
          <w:color w:val="000000"/>
          <w:sz w:val="24"/>
          <w:szCs w:val="24"/>
        </w:rPr>
        <w:t>што</w:t>
      </w:r>
      <w:r w:rsidRPr="00A84F18">
        <w:rPr>
          <w:rFonts w:ascii="Times New Roman" w:hAnsi="Times New Roman"/>
          <w:color w:val="000000"/>
          <w:sz w:val="24"/>
          <w:szCs w:val="24"/>
        </w:rPr>
        <w:t xml:space="preserve"> се слепи, лица со оштетен вид или лица </w:t>
      </w:r>
      <w:r>
        <w:rPr>
          <w:rFonts w:ascii="Times New Roman" w:hAnsi="Times New Roman"/>
          <w:color w:val="000000"/>
          <w:sz w:val="24"/>
          <w:szCs w:val="24"/>
        </w:rPr>
        <w:t>што</w:t>
      </w:r>
      <w:r w:rsidRPr="00A84F18">
        <w:rPr>
          <w:rFonts w:ascii="Times New Roman" w:hAnsi="Times New Roman"/>
          <w:color w:val="000000"/>
          <w:sz w:val="24"/>
          <w:szCs w:val="24"/>
        </w:rPr>
        <w:t xml:space="preserve"> не можат да читаат. Северна Македонија сѐ уште не е усогласена со Директивите за онлајн пренос на радиодифузни организации и реемитување телевизиски и радио програми (Директива SatCab II), за авторски права и сродни права на единствениот дигитален пазар (Директива ДСМ). Соодветното одделение за права на интелектуална сопственост во Министерството за култура и понатаму е со недоволен број вработени.</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Што се однесува до </w:t>
      </w:r>
      <w:r w:rsidRPr="00A84F18">
        <w:rPr>
          <w:rFonts w:ascii="Times New Roman" w:hAnsi="Times New Roman"/>
          <w:b/>
          <w:bCs/>
          <w:color w:val="000000"/>
          <w:sz w:val="24"/>
          <w:szCs w:val="24"/>
        </w:rPr>
        <w:t>правата на индустриска сопственост</w:t>
      </w:r>
      <w:r w:rsidRPr="00A84F18">
        <w:rPr>
          <w:rFonts w:ascii="Times New Roman" w:hAnsi="Times New Roman"/>
          <w:color w:val="000000"/>
          <w:sz w:val="24"/>
          <w:szCs w:val="24"/>
        </w:rPr>
        <w:t xml:space="preserve">, Државниот завод за индустриска сопственост (ДЗИС) ја продолжи соработката со ЕУ и со меѓународните тела, особено со Канцеларијата за интелектуална сопственост на ЕУ (EUIPO). Исто така, ДЗИС почна целосно да ја користи </w:t>
      </w:r>
      <w:r w:rsidRPr="00A84F18">
        <w:rPr>
          <w:rFonts w:ascii="Times New Roman" w:hAnsi="Times New Roman"/>
          <w:sz w:val="24"/>
          <w:szCs w:val="24"/>
        </w:rPr>
        <w:t>усогласената база на податоци на EUIPO за производи и услуги за регистрација на трговски марки.</w:t>
      </w:r>
      <w:r w:rsidRPr="00A84F18">
        <w:rPr>
          <w:rFonts w:ascii="Times New Roman" w:hAnsi="Times New Roman"/>
          <w:color w:val="333333"/>
          <w:sz w:val="24"/>
          <w:szCs w:val="24"/>
        </w:rPr>
        <w:t xml:space="preserve"> </w:t>
      </w:r>
      <w:r w:rsidRPr="00A84F18">
        <w:rPr>
          <w:rFonts w:ascii="Times New Roman" w:hAnsi="Times New Roman"/>
          <w:color w:val="000000"/>
          <w:sz w:val="24"/>
          <w:szCs w:val="24"/>
        </w:rPr>
        <w:t xml:space="preserve">Северна Македонија треба и понатаму да го усогласува своето законодавство со </w:t>
      </w:r>
      <w:r w:rsidRPr="00A84F18">
        <w:rPr>
          <w:rFonts w:ascii="Times New Roman" w:hAnsi="Times New Roman"/>
          <w:i/>
          <w:iCs/>
          <w:color w:val="000000"/>
          <w:sz w:val="24"/>
          <w:szCs w:val="24"/>
        </w:rPr>
        <w:t xml:space="preserve">правото </w:t>
      </w:r>
      <w:r w:rsidRPr="00A84F18">
        <w:rPr>
          <w:rFonts w:ascii="Times New Roman" w:hAnsi="Times New Roman"/>
          <w:color w:val="000000"/>
          <w:sz w:val="24"/>
          <w:szCs w:val="24"/>
        </w:rPr>
        <w:t>на ЕУ во оваа област, особено за патенти, трговски тајни, како и со Директивата за спроведување ПИС.</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Во однос на </w:t>
      </w:r>
      <w:r w:rsidRPr="00A84F18">
        <w:rPr>
          <w:rFonts w:ascii="Times New Roman" w:hAnsi="Times New Roman"/>
          <w:b/>
          <w:bCs/>
          <w:color w:val="000000"/>
          <w:sz w:val="24"/>
          <w:szCs w:val="24"/>
        </w:rPr>
        <w:t>спроведувањето</w:t>
      </w:r>
      <w:r w:rsidRPr="00A84F18">
        <w:rPr>
          <w:rFonts w:ascii="Times New Roman" w:hAnsi="Times New Roman"/>
          <w:color w:val="000000"/>
          <w:sz w:val="24"/>
          <w:szCs w:val="24"/>
        </w:rPr>
        <w:t xml:space="preserve">, хардверската инфраструктура на информациската платформа за размена на податоци во врска со ПИС </w:t>
      </w:r>
      <w:r>
        <w:rPr>
          <w:rFonts w:ascii="Times New Roman" w:hAnsi="Times New Roman"/>
          <w:color w:val="000000"/>
          <w:sz w:val="24"/>
          <w:szCs w:val="24"/>
        </w:rPr>
        <w:t>с</w:t>
      </w:r>
      <w:r w:rsidRPr="00721A72">
        <w:rPr>
          <w:rFonts w:ascii="Times New Roman" w:hAnsi="Times New Roman"/>
          <w:color w:val="000000"/>
          <w:sz w:val="24"/>
          <w:szCs w:val="24"/>
          <w:lang w:val="ru-RU"/>
        </w:rPr>
        <w:t>è</w:t>
      </w:r>
      <w:r w:rsidRPr="00A84F18">
        <w:rPr>
          <w:rFonts w:ascii="Times New Roman" w:hAnsi="Times New Roman"/>
          <w:color w:val="000000"/>
          <w:sz w:val="24"/>
          <w:szCs w:val="24"/>
        </w:rPr>
        <w:t xml:space="preserve"> уште треба да стане функционална за да обезбеди целосен увид во институционалното постапување со прекршувањата на ПИС. Координативното тело за заштита на интелектуална сопственост треба да ги засили своите активности за решавање на клучните предизвици во однос на ПИС. Потребна е значителна работа на целокупното спроведување на ПИС.</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Од јануари до крајот на август 2023 година, имаше 18 случаи за сомнение за повреда на правата на интелектуална сопственост во кои се вклучени 22</w:t>
      </w:r>
      <w:r>
        <w:rPr>
          <w:rFonts w:ascii="Times New Roman" w:hAnsi="Times New Roman"/>
          <w:color w:val="000000"/>
          <w:sz w:val="24"/>
          <w:szCs w:val="24"/>
        </w:rPr>
        <w:t>.</w:t>
      </w:r>
      <w:r w:rsidRPr="00A84F18">
        <w:rPr>
          <w:rFonts w:ascii="Times New Roman" w:hAnsi="Times New Roman"/>
          <w:color w:val="000000"/>
          <w:sz w:val="24"/>
          <w:szCs w:val="24"/>
        </w:rPr>
        <w:t>380 парчиња од 43 трговски марки на запленета сток</w:t>
      </w:r>
      <w:r w:rsidR="00AB6C4C">
        <w:rPr>
          <w:rFonts w:ascii="Times New Roman" w:hAnsi="Times New Roman"/>
          <w:color w:val="000000"/>
          <w:sz w:val="24"/>
          <w:szCs w:val="24"/>
        </w:rPr>
        <w:t>и</w:t>
      </w:r>
      <w:r w:rsidRPr="00A84F18">
        <w:rPr>
          <w:rFonts w:ascii="Times New Roman" w:hAnsi="Times New Roman"/>
          <w:color w:val="000000"/>
          <w:sz w:val="24"/>
          <w:szCs w:val="24"/>
        </w:rPr>
        <w:t>. Прекршувањето на правата на интелектуална сопственост беше потврдено во седум случаи (за 9</w:t>
      </w:r>
      <w:r>
        <w:rPr>
          <w:rFonts w:ascii="Times New Roman" w:hAnsi="Times New Roman"/>
          <w:color w:val="000000"/>
          <w:sz w:val="24"/>
          <w:szCs w:val="24"/>
        </w:rPr>
        <w:t>.</w:t>
      </w:r>
      <w:r w:rsidRPr="00A84F18">
        <w:rPr>
          <w:rFonts w:ascii="Times New Roman" w:hAnsi="Times New Roman"/>
          <w:color w:val="000000"/>
          <w:sz w:val="24"/>
          <w:szCs w:val="24"/>
        </w:rPr>
        <w:t>588 парчиња) во кои се вклучени 12 меѓународни трговски марки.</w:t>
      </w:r>
    </w:p>
    <w:p w:rsidR="00B76D43" w:rsidRPr="00A84F18" w:rsidRDefault="00B76D43" w:rsidP="008D6AE4">
      <w:pPr>
        <w:pStyle w:val="Heading2"/>
      </w:pPr>
      <w:bookmarkStart w:id="62" w:name="bookmark41"/>
      <w:bookmarkStart w:id="63" w:name="_Toc150411747"/>
      <w:r w:rsidRPr="00A84F18">
        <w:t>П</w:t>
      </w:r>
      <w:bookmarkEnd w:id="62"/>
      <w:r w:rsidRPr="00A84F18">
        <w:t>оглавје 8: Политика на конкуренција</w:t>
      </w:r>
      <w:bookmarkEnd w:id="63"/>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i/>
          <w:iCs/>
          <w:color w:val="000000"/>
          <w:sz w:val="24"/>
          <w:szCs w:val="24"/>
        </w:rPr>
        <w:t>Правилата на ЕУ ја штитат слободната конкуренција. Тие вклучуваат антимонополски правила против рестриктивните договори меѓу претпријатијата и злоупотребата на доминантната позиција, а, исто така, вклучуваат правила за концентрации меѓу претпријатијата што значително би ја нарушило ефективната конкуренција. Правилата на ЕУ, исто така, утврдуваат систем за контрола на државната помош. На владите им е дозволено да доделуваат државна помош само ако се исполнети рестриктивните услови, со цел да се спречи нарушување на конкуренцијата.</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Земјата е </w:t>
      </w:r>
      <w:r w:rsidRPr="00A84F18">
        <w:rPr>
          <w:rFonts w:ascii="Times New Roman" w:hAnsi="Times New Roman"/>
          <w:b/>
          <w:bCs/>
          <w:color w:val="000000"/>
          <w:sz w:val="24"/>
          <w:szCs w:val="24"/>
        </w:rPr>
        <w:t xml:space="preserve">умерено подготвена </w:t>
      </w:r>
      <w:r w:rsidRPr="00A84F18">
        <w:rPr>
          <w:rFonts w:ascii="Times New Roman" w:hAnsi="Times New Roman"/>
          <w:color w:val="000000"/>
          <w:sz w:val="24"/>
          <w:szCs w:val="24"/>
        </w:rPr>
        <w:t xml:space="preserve">во областа на конкуренцијата. Во текот на извештајниот период </w:t>
      </w:r>
      <w:r w:rsidRPr="00A84F18">
        <w:rPr>
          <w:rFonts w:ascii="Times New Roman" w:hAnsi="Times New Roman"/>
          <w:b/>
          <w:bCs/>
          <w:color w:val="000000"/>
          <w:sz w:val="24"/>
          <w:szCs w:val="24"/>
        </w:rPr>
        <w:t>не беше постигнат напредок</w:t>
      </w:r>
      <w:r w:rsidRPr="00A84F18">
        <w:rPr>
          <w:rFonts w:ascii="Times New Roman" w:hAnsi="Times New Roman"/>
          <w:color w:val="000000"/>
          <w:sz w:val="24"/>
          <w:szCs w:val="24"/>
        </w:rPr>
        <w:t>. Комисијата за заштита на конкуренцијата (КЗК) и понатаму се соочува со ограничени буџет и капацитет. Нивото на спроведување останува ниско.</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Со оглед на тоа што препораките од минатата година не беа спроведени, тие остануваат во важност. Во текот на наредната година, земјата особено треба:</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w:t>
      </w:r>
      <w:r w:rsidRPr="00A84F18">
        <w:rPr>
          <w:rFonts w:ascii="Times New Roman" w:hAnsi="Times New Roman"/>
          <w:color w:val="000000"/>
          <w:sz w:val="24"/>
          <w:szCs w:val="24"/>
        </w:rPr>
        <w:tab/>
        <w:t xml:space="preserve">дополнително да ја усогласи законодавната рамка, особено законодавството за спроведување во областа на државна помош и антимонопол, со </w:t>
      </w:r>
      <w:r w:rsidRPr="00A84F18">
        <w:rPr>
          <w:rFonts w:ascii="Times New Roman" w:hAnsi="Times New Roman"/>
          <w:i/>
          <w:iCs/>
          <w:color w:val="000000"/>
          <w:sz w:val="24"/>
          <w:szCs w:val="24"/>
        </w:rPr>
        <w:t>правото</w:t>
      </w:r>
      <w:r w:rsidRPr="00A84F18">
        <w:rPr>
          <w:rFonts w:ascii="Times New Roman" w:hAnsi="Times New Roman"/>
          <w:color w:val="000000"/>
          <w:sz w:val="24"/>
          <w:szCs w:val="24"/>
        </w:rPr>
        <w:t xml:space="preserve"> на ЕУ.</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w:t>
      </w:r>
      <w:r w:rsidRPr="00A84F18">
        <w:rPr>
          <w:rFonts w:ascii="Times New Roman" w:hAnsi="Times New Roman"/>
          <w:color w:val="000000"/>
          <w:sz w:val="24"/>
          <w:szCs w:val="24"/>
        </w:rPr>
        <w:tab/>
        <w:t>да осигури целосна транспарентност на државната помош доделена од органите;</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w:t>
      </w:r>
      <w:r w:rsidRPr="00A84F18">
        <w:rPr>
          <w:rFonts w:ascii="Times New Roman" w:hAnsi="Times New Roman"/>
          <w:color w:val="000000"/>
          <w:sz w:val="24"/>
          <w:szCs w:val="24"/>
        </w:rPr>
        <w:tab/>
        <w:t>да ги зајакне административниот и финансискиот капацитет на националниот орган за конкуренција.</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u w:val="single"/>
        </w:rPr>
        <w:t>Антимонопол и спојувања</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b/>
          <w:bCs/>
          <w:color w:val="000000"/>
          <w:sz w:val="24"/>
          <w:szCs w:val="24"/>
        </w:rPr>
        <w:t xml:space="preserve">Законодавната рамка </w:t>
      </w:r>
      <w:r w:rsidRPr="00A84F18">
        <w:rPr>
          <w:rFonts w:ascii="Times New Roman" w:hAnsi="Times New Roman"/>
          <w:color w:val="000000"/>
          <w:sz w:val="24"/>
          <w:szCs w:val="24"/>
        </w:rPr>
        <w:t xml:space="preserve">е во голема мера усогласена со </w:t>
      </w:r>
      <w:r w:rsidRPr="00A84F18">
        <w:rPr>
          <w:rFonts w:ascii="Times New Roman" w:hAnsi="Times New Roman"/>
          <w:i/>
          <w:iCs/>
          <w:color w:val="000000"/>
          <w:sz w:val="24"/>
          <w:szCs w:val="24"/>
        </w:rPr>
        <w:t xml:space="preserve">правото </w:t>
      </w:r>
      <w:r w:rsidRPr="00A84F18">
        <w:rPr>
          <w:rFonts w:ascii="Times New Roman" w:hAnsi="Times New Roman"/>
          <w:color w:val="000000"/>
          <w:sz w:val="24"/>
          <w:szCs w:val="24"/>
        </w:rPr>
        <w:t>на ЕУ во областа на антимонопол и спојувања, иако делови од законодавството за спроведување допрва треба да се усогласат.</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Во однос на </w:t>
      </w:r>
      <w:r w:rsidRPr="00A84F18">
        <w:rPr>
          <w:rFonts w:ascii="Times New Roman" w:hAnsi="Times New Roman"/>
          <w:b/>
          <w:bCs/>
          <w:color w:val="000000"/>
          <w:sz w:val="24"/>
          <w:szCs w:val="24"/>
        </w:rPr>
        <w:t>институционалната рамка</w:t>
      </w:r>
      <w:r w:rsidRPr="00A84F18">
        <w:rPr>
          <w:rFonts w:ascii="Times New Roman" w:hAnsi="Times New Roman"/>
          <w:color w:val="000000"/>
          <w:sz w:val="24"/>
          <w:szCs w:val="24"/>
        </w:rPr>
        <w:t>, КЗК е одговорна за спроведување на Законот за заштита на конкуренцијата. Може да изрекува парични казни, да предлага правни лекови или да издава мислења ако се прекршат правилата за конкуренција. КЗК може да одобрува спојувања, со или без услови, или, пак, да ги забрани. Нејзините одлуки се обврзувачки и може да бидат предмет на жалба пред Управниот суд.</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Капацитетот за спроведување на КЗК останува ограничен бидејќи и натаму нема доволно кадар. Нејзиниот годишен буџет останува недоволен. Соодветното спроведување е нарушено од слабиот капацитет на КЗК, како и на судовите што се занимаваат со случаи на антимонопол.</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Во однос на </w:t>
      </w:r>
      <w:r w:rsidRPr="00A84F18">
        <w:rPr>
          <w:rFonts w:ascii="Times New Roman" w:hAnsi="Times New Roman"/>
          <w:b/>
          <w:bCs/>
          <w:color w:val="000000"/>
          <w:sz w:val="24"/>
          <w:szCs w:val="24"/>
        </w:rPr>
        <w:t>спроведувањето</w:t>
      </w:r>
      <w:r w:rsidRPr="00A84F18">
        <w:rPr>
          <w:rFonts w:ascii="Times New Roman" w:hAnsi="Times New Roman"/>
          <w:color w:val="000000"/>
          <w:sz w:val="24"/>
          <w:szCs w:val="24"/>
        </w:rPr>
        <w:t xml:space="preserve">, бројот на одлуки за спојување се зголеми од 81 во 2021 година на 101 во 2022 година, вклучувајќи одлуки за мали случаи. КЗК треба да ги зголеми теренските инспекции и да го користи инструментот за попустливост за да го зајакне спроведувањето. Потребно е дополнително зајакнување, вклучувајќи и обука на судски професионалци, за примена на правилата за антимонопол и </w:t>
      </w:r>
      <w:r>
        <w:rPr>
          <w:rFonts w:ascii="Times New Roman" w:hAnsi="Times New Roman"/>
          <w:color w:val="000000"/>
          <w:sz w:val="24"/>
          <w:szCs w:val="24"/>
        </w:rPr>
        <w:t xml:space="preserve">за </w:t>
      </w:r>
      <w:r w:rsidRPr="00A84F18">
        <w:rPr>
          <w:rFonts w:ascii="Times New Roman" w:hAnsi="Times New Roman"/>
          <w:color w:val="000000"/>
          <w:sz w:val="24"/>
          <w:szCs w:val="24"/>
        </w:rPr>
        <w:t>спојувања.</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u w:val="single"/>
        </w:rPr>
        <w:t>Државна помош</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b/>
          <w:bCs/>
          <w:color w:val="000000"/>
          <w:sz w:val="24"/>
          <w:szCs w:val="24"/>
        </w:rPr>
        <w:t xml:space="preserve">Законодавната рамка </w:t>
      </w:r>
      <w:r w:rsidRPr="00A84F18">
        <w:rPr>
          <w:rFonts w:ascii="Times New Roman" w:hAnsi="Times New Roman"/>
          <w:color w:val="000000"/>
          <w:sz w:val="24"/>
          <w:szCs w:val="24"/>
        </w:rPr>
        <w:t>за државна помош во голема мера ги одразува членовите 107 и 108 од ДФЕУ. Законот за државна помош и законодавството за неговото спроведување</w:t>
      </w:r>
      <w:r>
        <w:rPr>
          <w:rFonts w:ascii="Times New Roman" w:hAnsi="Times New Roman"/>
          <w:color w:val="000000"/>
          <w:sz w:val="24"/>
          <w:szCs w:val="24"/>
        </w:rPr>
        <w:t>,</w:t>
      </w:r>
      <w:r w:rsidRPr="00A84F18">
        <w:rPr>
          <w:rFonts w:ascii="Times New Roman" w:hAnsi="Times New Roman"/>
          <w:color w:val="000000"/>
          <w:sz w:val="24"/>
          <w:szCs w:val="24"/>
        </w:rPr>
        <w:t xml:space="preserve"> треба дополнително да се усогласат со </w:t>
      </w:r>
      <w:r w:rsidRPr="00A84F18">
        <w:rPr>
          <w:rFonts w:ascii="Times New Roman" w:hAnsi="Times New Roman"/>
          <w:i/>
          <w:iCs/>
          <w:color w:val="000000"/>
          <w:sz w:val="24"/>
          <w:szCs w:val="24"/>
        </w:rPr>
        <w:t>правото</w:t>
      </w:r>
      <w:r w:rsidRPr="00A84F18">
        <w:rPr>
          <w:rFonts w:ascii="Times New Roman" w:hAnsi="Times New Roman"/>
          <w:color w:val="000000"/>
          <w:sz w:val="24"/>
          <w:szCs w:val="24"/>
        </w:rPr>
        <w:t xml:space="preserve"> на ЕУ.</w:t>
      </w:r>
      <w:r w:rsidRPr="00A84F18">
        <w:rPr>
          <w:rFonts w:ascii="Times New Roman" w:hAnsi="Times New Roman"/>
          <w:i/>
          <w:iCs/>
          <w:color w:val="000000"/>
          <w:sz w:val="24"/>
          <w:szCs w:val="24"/>
        </w:rPr>
        <w:t xml:space="preserve"> </w:t>
      </w:r>
      <w:r w:rsidRPr="00A84F18">
        <w:rPr>
          <w:rFonts w:ascii="Times New Roman" w:hAnsi="Times New Roman"/>
          <w:color w:val="000000"/>
          <w:sz w:val="24"/>
          <w:szCs w:val="24"/>
        </w:rPr>
        <w:t>Пописот на државната помош сè уште не е транспарентен.</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Во однос на </w:t>
      </w:r>
      <w:r w:rsidRPr="00A84F18">
        <w:rPr>
          <w:rFonts w:ascii="Times New Roman" w:hAnsi="Times New Roman"/>
          <w:b/>
          <w:bCs/>
          <w:color w:val="000000"/>
          <w:sz w:val="24"/>
          <w:szCs w:val="24"/>
        </w:rPr>
        <w:t>институционалната рамка</w:t>
      </w:r>
      <w:r w:rsidRPr="00A84F18">
        <w:rPr>
          <w:rFonts w:ascii="Times New Roman" w:hAnsi="Times New Roman"/>
          <w:color w:val="000000"/>
          <w:sz w:val="24"/>
          <w:szCs w:val="24"/>
        </w:rPr>
        <w:t xml:space="preserve">, КЗК е, исто така, одговорна за спроведување на Законот за државна помош. КЗК издава необврзувачки мислења и обврзувачки одлуки за државна помош. Во однос на капацитетот за спроведување, сè уште е недоволен </w:t>
      </w:r>
      <w:r>
        <w:rPr>
          <w:rFonts w:ascii="Times New Roman" w:hAnsi="Times New Roman"/>
          <w:color w:val="000000"/>
          <w:sz w:val="24"/>
          <w:szCs w:val="24"/>
        </w:rPr>
        <w:t>кадарот</w:t>
      </w:r>
      <w:r w:rsidRPr="00A84F18">
        <w:rPr>
          <w:rFonts w:ascii="Times New Roman" w:hAnsi="Times New Roman"/>
          <w:color w:val="000000"/>
          <w:sz w:val="24"/>
          <w:szCs w:val="24"/>
        </w:rPr>
        <w:t xml:space="preserve"> на КЗК што се занимава со контрола на државната помош.</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Во однос на </w:t>
      </w:r>
      <w:r w:rsidRPr="00A84F18">
        <w:rPr>
          <w:rFonts w:ascii="Times New Roman" w:hAnsi="Times New Roman"/>
          <w:b/>
          <w:bCs/>
          <w:color w:val="000000"/>
          <w:sz w:val="24"/>
          <w:szCs w:val="24"/>
        </w:rPr>
        <w:t>спроведувањето</w:t>
      </w:r>
      <w:r w:rsidRPr="00A84F18">
        <w:rPr>
          <w:rFonts w:ascii="Times New Roman" w:hAnsi="Times New Roman"/>
          <w:color w:val="000000"/>
          <w:sz w:val="24"/>
          <w:szCs w:val="24"/>
        </w:rPr>
        <w:t>, во 2022 година КЗК издаде 27 одлуки и 33 мислења за државна помош. Во текот на извештајниот период, КЗК не донесе ниту една негативна или условена одлука. Донесена е една процедурална наредба по завршување на постапката за испитување на постоењето незаконска државна помош. Сѐ поголемиот број барања за мислења и известувања за државна помош поднесени од министерствата до КЗК</w:t>
      </w:r>
      <w:r>
        <w:rPr>
          <w:rFonts w:ascii="Times New Roman" w:hAnsi="Times New Roman"/>
          <w:color w:val="000000"/>
          <w:sz w:val="24"/>
          <w:szCs w:val="24"/>
        </w:rPr>
        <w:t>,</w:t>
      </w:r>
      <w:r w:rsidRPr="00A84F18">
        <w:rPr>
          <w:rFonts w:ascii="Times New Roman" w:hAnsi="Times New Roman"/>
          <w:color w:val="000000"/>
          <w:sz w:val="24"/>
          <w:szCs w:val="24"/>
        </w:rPr>
        <w:t xml:space="preserve"> ја отсликуваат зголемената свест на државните тела </w:t>
      </w:r>
      <w:r>
        <w:rPr>
          <w:rFonts w:ascii="Times New Roman" w:hAnsi="Times New Roman"/>
          <w:color w:val="000000"/>
          <w:sz w:val="24"/>
          <w:szCs w:val="24"/>
        </w:rPr>
        <w:t>што</w:t>
      </w:r>
      <w:r w:rsidRPr="00A84F18">
        <w:rPr>
          <w:rFonts w:ascii="Times New Roman" w:hAnsi="Times New Roman"/>
          <w:color w:val="000000"/>
          <w:sz w:val="24"/>
          <w:szCs w:val="24"/>
        </w:rPr>
        <w:t xml:space="preserve"> одобруваат помош за постоењето на правилата за државна помош.</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u w:val="single"/>
        </w:rPr>
        <w:t>Либерализација</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Антимонополските правила и правилата за државна помош се применуваат и за државни претпријатија и за претпријатија со посебни или </w:t>
      </w:r>
      <w:r>
        <w:rPr>
          <w:rFonts w:ascii="Times New Roman" w:hAnsi="Times New Roman"/>
          <w:color w:val="000000"/>
          <w:sz w:val="24"/>
          <w:szCs w:val="24"/>
        </w:rPr>
        <w:t xml:space="preserve">со </w:t>
      </w:r>
      <w:r w:rsidRPr="00A84F18">
        <w:rPr>
          <w:rFonts w:ascii="Times New Roman" w:hAnsi="Times New Roman"/>
          <w:color w:val="000000"/>
          <w:sz w:val="24"/>
          <w:szCs w:val="24"/>
        </w:rPr>
        <w:t>ексклузивни права, освен ако нивното применување не го попречува извршувањето на конкретните задачи што им се доделени. Нема докази за постоење монополи од комерцијален карактер во рамките на значењето на член 37 од ДФЕУ.</w:t>
      </w:r>
    </w:p>
    <w:p w:rsidR="00B76D43" w:rsidRPr="00A84F18" w:rsidRDefault="00B76D43" w:rsidP="008D6AE4">
      <w:pPr>
        <w:pStyle w:val="Heading2"/>
      </w:pPr>
      <w:bookmarkStart w:id="64" w:name="bookmark42"/>
      <w:bookmarkStart w:id="65" w:name="_Toc150411748"/>
      <w:r w:rsidRPr="00A84F18">
        <w:t>П</w:t>
      </w:r>
      <w:bookmarkEnd w:id="64"/>
      <w:r w:rsidRPr="00A84F18">
        <w:t>оглавје 9: Финансиски услуги</w:t>
      </w:r>
      <w:bookmarkEnd w:id="65"/>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i/>
          <w:iCs/>
          <w:color w:val="000000"/>
          <w:sz w:val="24"/>
          <w:szCs w:val="24"/>
        </w:rPr>
        <w:t xml:space="preserve">Правилата на ЕУ имаат цел да обезбедат фер конкуренција меѓу финансиските институции и нивна стабилност, имено, во областа на банкарството, осигурувањето, дополнителните пензии, инвестициските услуги и пазарите на хартии од вредност. Тие вклучуваат правила за овластување, </w:t>
      </w:r>
      <w:r>
        <w:rPr>
          <w:rFonts w:ascii="Times New Roman" w:hAnsi="Times New Roman"/>
          <w:i/>
          <w:iCs/>
          <w:color w:val="000000"/>
          <w:sz w:val="24"/>
          <w:szCs w:val="24"/>
        </w:rPr>
        <w:t xml:space="preserve">за </w:t>
      </w:r>
      <w:r w:rsidRPr="00A84F18">
        <w:rPr>
          <w:rFonts w:ascii="Times New Roman" w:hAnsi="Times New Roman"/>
          <w:i/>
          <w:iCs/>
          <w:color w:val="000000"/>
          <w:sz w:val="24"/>
          <w:szCs w:val="24"/>
        </w:rPr>
        <w:t xml:space="preserve">работење и </w:t>
      </w:r>
      <w:r>
        <w:rPr>
          <w:rFonts w:ascii="Times New Roman" w:hAnsi="Times New Roman"/>
          <w:i/>
          <w:iCs/>
          <w:color w:val="000000"/>
          <w:sz w:val="24"/>
          <w:szCs w:val="24"/>
        </w:rPr>
        <w:t xml:space="preserve">за </w:t>
      </w:r>
      <w:r w:rsidRPr="00A84F18">
        <w:rPr>
          <w:rFonts w:ascii="Times New Roman" w:hAnsi="Times New Roman"/>
          <w:i/>
          <w:iCs/>
          <w:color w:val="000000"/>
          <w:sz w:val="24"/>
          <w:szCs w:val="24"/>
        </w:rPr>
        <w:t>надзор на овие институции.</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Земјата останува </w:t>
      </w:r>
      <w:r w:rsidRPr="00A84F18">
        <w:rPr>
          <w:rFonts w:ascii="Times New Roman" w:hAnsi="Times New Roman"/>
          <w:b/>
          <w:bCs/>
          <w:color w:val="000000"/>
          <w:sz w:val="24"/>
          <w:szCs w:val="24"/>
        </w:rPr>
        <w:t xml:space="preserve">умерено подготвена </w:t>
      </w:r>
      <w:r w:rsidRPr="00A84F18">
        <w:rPr>
          <w:rFonts w:ascii="Times New Roman" w:hAnsi="Times New Roman"/>
          <w:color w:val="000000"/>
          <w:sz w:val="24"/>
          <w:szCs w:val="24"/>
        </w:rPr>
        <w:t xml:space="preserve">во областа на финансиските услуги. </w:t>
      </w:r>
      <w:r w:rsidRPr="00721A72">
        <w:rPr>
          <w:rFonts w:ascii="Times New Roman" w:hAnsi="Times New Roman"/>
          <w:bCs/>
          <w:color w:val="000000"/>
          <w:sz w:val="24"/>
          <w:szCs w:val="24"/>
        </w:rPr>
        <w:t>Постигнат е</w:t>
      </w:r>
      <w:r w:rsidRPr="00A84F18">
        <w:rPr>
          <w:rFonts w:ascii="Times New Roman" w:hAnsi="Times New Roman"/>
          <w:b/>
          <w:bCs/>
          <w:color w:val="000000"/>
          <w:sz w:val="24"/>
          <w:szCs w:val="24"/>
        </w:rPr>
        <w:t xml:space="preserve"> одреден напредок </w:t>
      </w:r>
      <w:r w:rsidRPr="00A84F18">
        <w:rPr>
          <w:rFonts w:ascii="Times New Roman" w:hAnsi="Times New Roman"/>
          <w:color w:val="000000"/>
          <w:sz w:val="24"/>
          <w:szCs w:val="24"/>
        </w:rPr>
        <w:t xml:space="preserve">во натамошното усогласување со </w:t>
      </w:r>
      <w:r w:rsidRPr="00A84F18">
        <w:rPr>
          <w:rFonts w:ascii="Times New Roman" w:hAnsi="Times New Roman"/>
          <w:i/>
          <w:iCs/>
          <w:color w:val="000000"/>
          <w:sz w:val="24"/>
          <w:szCs w:val="24"/>
        </w:rPr>
        <w:t xml:space="preserve">правото </w:t>
      </w:r>
      <w:r w:rsidRPr="00A84F18">
        <w:rPr>
          <w:rFonts w:ascii="Times New Roman" w:hAnsi="Times New Roman"/>
          <w:color w:val="000000"/>
          <w:sz w:val="24"/>
          <w:szCs w:val="24"/>
        </w:rPr>
        <w:t>на ЕУ во однос на банки</w:t>
      </w:r>
      <w:r>
        <w:rPr>
          <w:rFonts w:ascii="Times New Roman" w:hAnsi="Times New Roman"/>
          <w:color w:val="000000"/>
          <w:sz w:val="24"/>
          <w:szCs w:val="24"/>
        </w:rPr>
        <w:t>те</w:t>
      </w:r>
      <w:r w:rsidRPr="00A84F18">
        <w:rPr>
          <w:rFonts w:ascii="Times New Roman" w:hAnsi="Times New Roman"/>
          <w:color w:val="000000"/>
          <w:sz w:val="24"/>
          <w:szCs w:val="24"/>
        </w:rPr>
        <w:t xml:space="preserve"> и </w:t>
      </w:r>
      <w:r>
        <w:rPr>
          <w:rFonts w:ascii="Times New Roman" w:hAnsi="Times New Roman"/>
          <w:color w:val="000000"/>
          <w:sz w:val="24"/>
          <w:szCs w:val="24"/>
        </w:rPr>
        <w:t xml:space="preserve">на </w:t>
      </w:r>
      <w:r w:rsidRPr="00A84F18">
        <w:rPr>
          <w:rFonts w:ascii="Times New Roman" w:hAnsi="Times New Roman"/>
          <w:color w:val="000000"/>
          <w:sz w:val="24"/>
          <w:szCs w:val="24"/>
        </w:rPr>
        <w:t>инфраструктура</w:t>
      </w:r>
      <w:r>
        <w:rPr>
          <w:rFonts w:ascii="Times New Roman" w:hAnsi="Times New Roman"/>
          <w:color w:val="000000"/>
          <w:sz w:val="24"/>
          <w:szCs w:val="24"/>
        </w:rPr>
        <w:t>та</w:t>
      </w:r>
      <w:r w:rsidRPr="00A84F18">
        <w:rPr>
          <w:rFonts w:ascii="Times New Roman" w:hAnsi="Times New Roman"/>
          <w:color w:val="000000"/>
          <w:sz w:val="24"/>
          <w:szCs w:val="24"/>
        </w:rPr>
        <w:t xml:space="preserve"> на финансискиот пазар, имено преку донесување и влегување во сила на ново законодавство за платежни услуги и платни системи, за финансиска стабилност, за управување со кредитен ризик и за објавување на податоците и </w:t>
      </w:r>
      <w:r>
        <w:rPr>
          <w:rFonts w:ascii="Times New Roman" w:hAnsi="Times New Roman"/>
          <w:color w:val="000000"/>
          <w:sz w:val="24"/>
          <w:szCs w:val="24"/>
        </w:rPr>
        <w:t xml:space="preserve">на </w:t>
      </w:r>
      <w:r w:rsidRPr="00A84F18">
        <w:rPr>
          <w:rFonts w:ascii="Times New Roman" w:hAnsi="Times New Roman"/>
          <w:color w:val="000000"/>
          <w:sz w:val="24"/>
          <w:szCs w:val="24"/>
        </w:rPr>
        <w:t xml:space="preserve">извештаите на банките. Усогласувањето со </w:t>
      </w:r>
      <w:r w:rsidRPr="00A84F18">
        <w:rPr>
          <w:rFonts w:ascii="Times New Roman" w:hAnsi="Times New Roman"/>
          <w:i/>
          <w:iCs/>
          <w:color w:val="000000"/>
          <w:sz w:val="24"/>
          <w:szCs w:val="24"/>
        </w:rPr>
        <w:t xml:space="preserve">правото </w:t>
      </w:r>
      <w:r w:rsidRPr="00A84F18">
        <w:rPr>
          <w:rFonts w:ascii="Times New Roman" w:hAnsi="Times New Roman"/>
          <w:color w:val="000000"/>
          <w:sz w:val="24"/>
          <w:szCs w:val="24"/>
        </w:rPr>
        <w:t xml:space="preserve">на ЕУ за надзорната и </w:t>
      </w:r>
      <w:r>
        <w:rPr>
          <w:rFonts w:ascii="Times New Roman" w:hAnsi="Times New Roman"/>
          <w:color w:val="000000"/>
          <w:sz w:val="24"/>
          <w:szCs w:val="24"/>
        </w:rPr>
        <w:t xml:space="preserve">за </w:t>
      </w:r>
      <w:r w:rsidRPr="00A84F18">
        <w:rPr>
          <w:rFonts w:ascii="Times New Roman" w:hAnsi="Times New Roman"/>
          <w:color w:val="000000"/>
          <w:sz w:val="24"/>
          <w:szCs w:val="24"/>
        </w:rPr>
        <w:t>регулаторната рамка за кредитни институции и инфраструктурата на финансискиот пазар е доста напреднато. Усогласувањето во областа на осигурувањето и пазарот на капитал сè уште заостанува, делумно поради големината и структурата на пазарот. Организациската поставеност на централната банка беше реструкту</w:t>
      </w:r>
      <w:r>
        <w:rPr>
          <w:rFonts w:ascii="Times New Roman" w:hAnsi="Times New Roman"/>
          <w:color w:val="000000"/>
          <w:sz w:val="24"/>
          <w:szCs w:val="24"/>
        </w:rPr>
        <w:t>р</w:t>
      </w:r>
      <w:r w:rsidRPr="00A84F18">
        <w:rPr>
          <w:rFonts w:ascii="Times New Roman" w:hAnsi="Times New Roman"/>
          <w:color w:val="000000"/>
          <w:sz w:val="24"/>
          <w:szCs w:val="24"/>
        </w:rPr>
        <w:t xml:space="preserve">ирана за да ја одрази нејзината функција на орган за решaвање на банките. </w:t>
      </w:r>
      <w:r>
        <w:rPr>
          <w:rFonts w:ascii="Times New Roman" w:hAnsi="Times New Roman"/>
          <w:color w:val="000000"/>
          <w:sz w:val="24"/>
          <w:szCs w:val="24"/>
        </w:rPr>
        <w:t>З</w:t>
      </w:r>
      <w:r w:rsidRPr="00A84F18">
        <w:rPr>
          <w:rFonts w:ascii="Times New Roman" w:hAnsi="Times New Roman"/>
          <w:color w:val="000000"/>
          <w:sz w:val="24"/>
          <w:szCs w:val="24"/>
        </w:rPr>
        <w:t>агрижувачки</w:t>
      </w:r>
      <w:r>
        <w:rPr>
          <w:rFonts w:ascii="Times New Roman" w:hAnsi="Times New Roman"/>
          <w:color w:val="000000"/>
          <w:sz w:val="24"/>
          <w:szCs w:val="24"/>
        </w:rPr>
        <w:t xml:space="preserve"> е к</w:t>
      </w:r>
      <w:r w:rsidRPr="00A84F18">
        <w:rPr>
          <w:rFonts w:ascii="Times New Roman" w:hAnsi="Times New Roman"/>
          <w:color w:val="000000"/>
          <w:sz w:val="24"/>
          <w:szCs w:val="24"/>
        </w:rPr>
        <w:t>онтинуираниот неуспех за ефикасно справување и спречување нерегистрирани и неосигурени возила.</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Препораките од минатата година беа делумно спроведени. Во текот на наредната година, земјата особено треба:</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w:t>
      </w:r>
      <w:r w:rsidRPr="00A84F18">
        <w:rPr>
          <w:rFonts w:ascii="Times New Roman" w:hAnsi="Times New Roman"/>
          <w:color w:val="000000"/>
          <w:sz w:val="24"/>
          <w:szCs w:val="24"/>
        </w:rPr>
        <w:tab/>
        <w:t>да го донесе Законот за закрепнување и решавање за да се овозможи можност да се формира орган за решавање банки и да се измени Законот за осигурување депозити, како и Законот за банките за да се подобри осигурувањето на депозитите во согласност со барањата на ЕУ;</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w:t>
      </w:r>
      <w:r w:rsidRPr="00A84F18">
        <w:rPr>
          <w:rFonts w:ascii="Times New Roman" w:hAnsi="Times New Roman"/>
          <w:color w:val="000000"/>
          <w:sz w:val="24"/>
          <w:szCs w:val="24"/>
        </w:rPr>
        <w:tab/>
        <w:t xml:space="preserve">да напредува во подготовката и </w:t>
      </w:r>
      <w:r>
        <w:rPr>
          <w:rFonts w:ascii="Times New Roman" w:hAnsi="Times New Roman"/>
          <w:color w:val="000000"/>
          <w:sz w:val="24"/>
          <w:szCs w:val="24"/>
        </w:rPr>
        <w:t xml:space="preserve">во </w:t>
      </w:r>
      <w:r w:rsidRPr="00A84F18">
        <w:rPr>
          <w:rFonts w:ascii="Times New Roman" w:hAnsi="Times New Roman"/>
          <w:color w:val="000000"/>
          <w:sz w:val="24"/>
          <w:szCs w:val="24"/>
        </w:rPr>
        <w:t>донесувањето на клучните делови од законодавството со кои се регулираат пазарите на капитал, имено Законот за финансиски инструменти и Законот за проспекти и обврски за транспарентност на издавачите на хартии од вредност;</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w:t>
      </w:r>
      <w:r w:rsidRPr="00A84F18">
        <w:rPr>
          <w:rFonts w:ascii="Times New Roman" w:hAnsi="Times New Roman"/>
          <w:color w:val="000000"/>
          <w:sz w:val="24"/>
          <w:szCs w:val="24"/>
        </w:rPr>
        <w:tab/>
        <w:t xml:space="preserve">да ги реши недостатоците во усогласување со ревидираните верзии на Директивата и </w:t>
      </w:r>
      <w:r>
        <w:rPr>
          <w:rFonts w:ascii="Times New Roman" w:hAnsi="Times New Roman"/>
          <w:color w:val="000000"/>
          <w:sz w:val="24"/>
          <w:szCs w:val="24"/>
        </w:rPr>
        <w:t xml:space="preserve">на </w:t>
      </w:r>
      <w:r w:rsidRPr="00A84F18">
        <w:rPr>
          <w:rFonts w:ascii="Times New Roman" w:hAnsi="Times New Roman"/>
          <w:color w:val="000000"/>
          <w:sz w:val="24"/>
          <w:szCs w:val="24"/>
        </w:rPr>
        <w:t>Регулативата за капитални барања, особено со нето стабилниот коефициент на финансирање</w:t>
      </w:r>
      <w:r>
        <w:rPr>
          <w:rFonts w:ascii="Times New Roman" w:hAnsi="Times New Roman"/>
          <w:color w:val="000000"/>
          <w:sz w:val="24"/>
          <w:szCs w:val="24"/>
        </w:rPr>
        <w:t>,</w:t>
      </w:r>
      <w:r w:rsidRPr="00A84F18">
        <w:rPr>
          <w:rFonts w:ascii="Times New Roman" w:hAnsi="Times New Roman"/>
          <w:color w:val="000000"/>
          <w:sz w:val="24"/>
          <w:szCs w:val="24"/>
        </w:rPr>
        <w:t xml:space="preserve"> и да се усогласи со Директивата за солвентност II, особено со столбот 1 и столбот 3 од таа директива.</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Во однос на </w:t>
      </w:r>
      <w:r w:rsidRPr="00A84F18">
        <w:rPr>
          <w:rFonts w:ascii="Times New Roman" w:hAnsi="Times New Roman"/>
          <w:b/>
          <w:bCs/>
          <w:color w:val="000000"/>
          <w:sz w:val="24"/>
          <w:szCs w:val="24"/>
        </w:rPr>
        <w:t>банките и финансиските конгломерати</w:t>
      </w:r>
      <w:r w:rsidRPr="00A84F18">
        <w:rPr>
          <w:rFonts w:ascii="Times New Roman" w:hAnsi="Times New Roman"/>
          <w:color w:val="000000"/>
          <w:sz w:val="24"/>
          <w:szCs w:val="24"/>
        </w:rPr>
        <w:t xml:space="preserve">, во февруари 2023 година Северна Македонија донесе нова методологија за управување со кредитен ризик и одлука банките </w:t>
      </w:r>
      <w:r>
        <w:rPr>
          <w:rFonts w:ascii="Times New Roman" w:hAnsi="Times New Roman"/>
          <w:color w:val="000000"/>
          <w:sz w:val="24"/>
          <w:szCs w:val="24"/>
        </w:rPr>
        <w:t>да објавуваат</w:t>
      </w:r>
      <w:r w:rsidRPr="00A84F18">
        <w:rPr>
          <w:rFonts w:ascii="Times New Roman" w:hAnsi="Times New Roman"/>
          <w:color w:val="000000"/>
          <w:sz w:val="24"/>
          <w:szCs w:val="24"/>
        </w:rPr>
        <w:t xml:space="preserve"> податоци и извештаи, со што делумно се усогласи и со Директивата и со Регулативата за капитални барања. Централната банка ја реструктурира својата организациска поставеност со формирање нов оддел за банкарска регулатива и решавање банки, одделен од секторот за банкарска супервизија. Основните стапки на банкарскиот сектор и понатаму се далеку над минималните барања. Законот за фондот за осигурување депозити и Законот за банките сѐ уште не се изменети за да се подобри осигурувањето на депозитите, вклучувајќи и за да се воведе преференција на депонентот, во согласност со барањата на ЕУ</w:t>
      </w:r>
      <w:r>
        <w:rPr>
          <w:rFonts w:ascii="Times New Roman" w:hAnsi="Times New Roman"/>
          <w:color w:val="000000"/>
          <w:sz w:val="24"/>
          <w:szCs w:val="24"/>
        </w:rPr>
        <w:t>,</w:t>
      </w:r>
      <w:r w:rsidRPr="00A84F18">
        <w:rPr>
          <w:rFonts w:ascii="Times New Roman" w:hAnsi="Times New Roman"/>
          <w:color w:val="000000"/>
          <w:sz w:val="24"/>
          <w:szCs w:val="24"/>
        </w:rPr>
        <w:t xml:space="preserve"> и за да се осврне на загриженоста на Уставниот суд </w:t>
      </w:r>
      <w:bookmarkStart w:id="66" w:name="_Hlk150852551"/>
      <w:r w:rsidRPr="00A84F18">
        <w:rPr>
          <w:rFonts w:ascii="Times New Roman" w:hAnsi="Times New Roman"/>
          <w:color w:val="000000"/>
          <w:sz w:val="24"/>
          <w:szCs w:val="24"/>
        </w:rPr>
        <w:t xml:space="preserve">што </w:t>
      </w:r>
      <w:r>
        <w:rPr>
          <w:rFonts w:ascii="Times New Roman" w:hAnsi="Times New Roman"/>
          <w:color w:val="000000"/>
          <w:sz w:val="24"/>
          <w:szCs w:val="24"/>
        </w:rPr>
        <w:t>започна</w:t>
      </w:r>
      <w:r w:rsidRPr="00A84F18">
        <w:rPr>
          <w:rFonts w:ascii="Times New Roman" w:hAnsi="Times New Roman"/>
          <w:color w:val="000000"/>
          <w:sz w:val="24"/>
          <w:szCs w:val="24"/>
        </w:rPr>
        <w:t xml:space="preserve"> во јуни 2021 </w:t>
      </w:r>
      <w:bookmarkEnd w:id="66"/>
      <w:r w:rsidRPr="00A84F18">
        <w:rPr>
          <w:rFonts w:ascii="Times New Roman" w:hAnsi="Times New Roman"/>
          <w:color w:val="000000"/>
          <w:sz w:val="24"/>
          <w:szCs w:val="24"/>
        </w:rPr>
        <w:t xml:space="preserve">година за одземање на приоритетот на побарувањата на </w:t>
      </w:r>
      <w:r>
        <w:rPr>
          <w:rFonts w:ascii="Times New Roman" w:hAnsi="Times New Roman"/>
          <w:color w:val="000000"/>
          <w:sz w:val="24"/>
          <w:szCs w:val="24"/>
        </w:rPr>
        <w:t>Фондот</w:t>
      </w:r>
      <w:r w:rsidRPr="00A84F18">
        <w:rPr>
          <w:rFonts w:ascii="Times New Roman" w:hAnsi="Times New Roman"/>
          <w:color w:val="000000"/>
          <w:sz w:val="24"/>
          <w:szCs w:val="24"/>
        </w:rPr>
        <w:t xml:space="preserve"> за осигурување депозити во однос на пропадната банка. Ниту законодавството ниту капацитетот на Министерството за финансии за лиценцирање и </w:t>
      </w:r>
      <w:r>
        <w:rPr>
          <w:rFonts w:ascii="Times New Roman" w:hAnsi="Times New Roman"/>
          <w:color w:val="000000"/>
          <w:sz w:val="24"/>
          <w:szCs w:val="24"/>
        </w:rPr>
        <w:t xml:space="preserve">за </w:t>
      </w:r>
      <w:r w:rsidRPr="00A84F18">
        <w:rPr>
          <w:rFonts w:ascii="Times New Roman" w:hAnsi="Times New Roman"/>
          <w:color w:val="000000"/>
          <w:sz w:val="24"/>
          <w:szCs w:val="24"/>
        </w:rPr>
        <w:t xml:space="preserve">надзор на финансиските друштва не ги штитат доволно потрошувачите и затоа и за двете е потребно засилување. Законодавството за органот за решавање банки (вклучувајќи го и Законот за решавање на банките и неговото законодавство за спроведување и измените на Законот за централната банка и на Законот за банки) допрва треба да се </w:t>
      </w:r>
      <w:r>
        <w:rPr>
          <w:rFonts w:ascii="Times New Roman" w:hAnsi="Times New Roman"/>
          <w:color w:val="000000"/>
          <w:sz w:val="24"/>
          <w:szCs w:val="24"/>
        </w:rPr>
        <w:t>донесе</w:t>
      </w:r>
      <w:r w:rsidRPr="00A84F18">
        <w:rPr>
          <w:rFonts w:ascii="Times New Roman" w:hAnsi="Times New Roman"/>
          <w:color w:val="000000"/>
          <w:sz w:val="24"/>
          <w:szCs w:val="24"/>
        </w:rPr>
        <w:t>. Допрва треба да се финализира и правната и институционалната поставеност за основање на финансискиот Народен правобранител. Законодавството за усогласување со барањата на законодавството за покриени обврзници</w:t>
      </w:r>
      <w:r>
        <w:rPr>
          <w:rFonts w:ascii="Times New Roman" w:hAnsi="Times New Roman"/>
          <w:color w:val="000000"/>
          <w:sz w:val="24"/>
          <w:szCs w:val="24"/>
        </w:rPr>
        <w:t>,</w:t>
      </w:r>
      <w:r w:rsidRPr="00A84F18">
        <w:rPr>
          <w:rFonts w:ascii="Times New Roman" w:hAnsi="Times New Roman"/>
          <w:color w:val="000000"/>
          <w:sz w:val="24"/>
          <w:szCs w:val="24"/>
        </w:rPr>
        <w:t xml:space="preserve"> допрва треба да се спроведе.</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Во однос на </w:t>
      </w:r>
      <w:r w:rsidRPr="00A84F18">
        <w:rPr>
          <w:rFonts w:ascii="Times New Roman" w:hAnsi="Times New Roman"/>
          <w:b/>
          <w:bCs/>
          <w:color w:val="000000"/>
          <w:sz w:val="24"/>
          <w:szCs w:val="24"/>
        </w:rPr>
        <w:t>осигурувањето и професионалните пензии</w:t>
      </w:r>
      <w:r w:rsidRPr="00A84F18">
        <w:rPr>
          <w:rFonts w:ascii="Times New Roman" w:hAnsi="Times New Roman"/>
          <w:color w:val="000000"/>
          <w:sz w:val="24"/>
          <w:szCs w:val="24"/>
        </w:rPr>
        <w:t>, допрва треба да се донесе законодавство за усогласување со Директивата за солвентност II. Издаден е нов правилник за животно осигурување поврзан со</w:t>
      </w:r>
      <w:r w:rsidRPr="00A84F18">
        <w:rPr>
          <w:rFonts w:ascii="Times New Roman" w:hAnsi="Times New Roman"/>
          <w:sz w:val="24"/>
          <w:szCs w:val="24"/>
        </w:rPr>
        <w:t xml:space="preserve"> </w:t>
      </w:r>
      <w:r w:rsidRPr="00A84F18">
        <w:rPr>
          <w:rFonts w:ascii="Times New Roman" w:hAnsi="Times New Roman"/>
          <w:color w:val="000000"/>
          <w:sz w:val="24"/>
          <w:szCs w:val="24"/>
        </w:rPr>
        <w:t xml:space="preserve">инвестициските ризици што ги презема осигуреникот кога инвестира во акции преку инвестициски друштва. Законодавството сè уште дозволува Министерството за финансии да утврдува премии за осигурување моторни возила, што е спротивно на </w:t>
      </w:r>
      <w:r w:rsidRPr="00A84F18">
        <w:rPr>
          <w:rFonts w:ascii="Times New Roman" w:hAnsi="Times New Roman"/>
          <w:i/>
          <w:iCs/>
          <w:color w:val="000000"/>
          <w:sz w:val="24"/>
          <w:szCs w:val="24"/>
        </w:rPr>
        <w:t>правото</w:t>
      </w:r>
      <w:r w:rsidRPr="00A84F18">
        <w:rPr>
          <w:rFonts w:ascii="Times New Roman" w:hAnsi="Times New Roman"/>
          <w:color w:val="000000"/>
          <w:sz w:val="24"/>
          <w:szCs w:val="24"/>
        </w:rPr>
        <w:t xml:space="preserve"> на ЕУ. Достапни се податоци за процентот на возила што се неосигурени, но не е јасно дали тие возила се реално во оптек. Врз основа на бројот на неосигурени возила откриени преку контроли, во 2022 година имало 5,8 % неосигурени возила. Не се преземаат системски мерки за да се спречи возењето без осигурување. Сè уште постои ограничувањето од 50</w:t>
      </w:r>
      <w:r>
        <w:rPr>
          <w:rFonts w:ascii="Times New Roman" w:hAnsi="Times New Roman"/>
          <w:color w:val="000000"/>
          <w:sz w:val="24"/>
          <w:szCs w:val="24"/>
        </w:rPr>
        <w:t xml:space="preserve"> </w:t>
      </w:r>
      <w:r w:rsidRPr="00A84F18">
        <w:rPr>
          <w:rFonts w:ascii="Times New Roman" w:hAnsi="Times New Roman"/>
          <w:color w:val="000000"/>
          <w:sz w:val="24"/>
          <w:szCs w:val="24"/>
        </w:rPr>
        <w:t xml:space="preserve">% за инвестирање во </w:t>
      </w:r>
      <w:r>
        <w:rPr>
          <w:rFonts w:ascii="Times New Roman" w:hAnsi="Times New Roman"/>
          <w:color w:val="000000"/>
          <w:sz w:val="24"/>
          <w:szCs w:val="24"/>
        </w:rPr>
        <w:t>недомашни</w:t>
      </w:r>
      <w:r w:rsidRPr="00A84F18">
        <w:rPr>
          <w:rFonts w:ascii="Times New Roman" w:hAnsi="Times New Roman"/>
          <w:color w:val="000000"/>
          <w:sz w:val="24"/>
          <w:szCs w:val="24"/>
        </w:rPr>
        <w:t xml:space="preserve"> хартии од вредност од пензиските фондови, што е спротивно на </w:t>
      </w:r>
      <w:r w:rsidRPr="00A84F18">
        <w:rPr>
          <w:rFonts w:ascii="Times New Roman" w:hAnsi="Times New Roman"/>
          <w:i/>
          <w:iCs/>
          <w:color w:val="000000"/>
          <w:sz w:val="24"/>
          <w:szCs w:val="24"/>
        </w:rPr>
        <w:t xml:space="preserve">правото </w:t>
      </w:r>
      <w:r w:rsidRPr="00A84F18">
        <w:rPr>
          <w:rFonts w:ascii="Times New Roman" w:hAnsi="Times New Roman"/>
          <w:color w:val="000000"/>
          <w:sz w:val="24"/>
          <w:szCs w:val="24"/>
        </w:rPr>
        <w:t>на ЕУ и на втората фаза од Спогодбата за стабилизација и асоцијација (ССА).</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Во однос на </w:t>
      </w:r>
      <w:r w:rsidRPr="00A84F18">
        <w:rPr>
          <w:rFonts w:ascii="Times New Roman" w:hAnsi="Times New Roman"/>
          <w:b/>
          <w:bCs/>
          <w:color w:val="000000"/>
          <w:sz w:val="24"/>
          <w:szCs w:val="24"/>
        </w:rPr>
        <w:t>инфраструктурата на финансискиот пазар</w:t>
      </w:r>
      <w:r w:rsidRPr="00A84F18">
        <w:rPr>
          <w:rFonts w:ascii="Times New Roman" w:hAnsi="Times New Roman"/>
          <w:color w:val="000000"/>
          <w:sz w:val="24"/>
          <w:szCs w:val="24"/>
        </w:rPr>
        <w:t xml:space="preserve">, одредбите на новиот Закон за платежни услуги и платни системи имаат за цел да постигнат високо ниво на усогласеност кај </w:t>
      </w:r>
      <w:r>
        <w:rPr>
          <w:rFonts w:ascii="Times New Roman" w:hAnsi="Times New Roman"/>
          <w:color w:val="000000"/>
          <w:sz w:val="24"/>
          <w:szCs w:val="24"/>
        </w:rPr>
        <w:t>конечно</w:t>
      </w:r>
      <w:r w:rsidRPr="00A84F18">
        <w:rPr>
          <w:rFonts w:ascii="Times New Roman" w:hAnsi="Times New Roman"/>
          <w:color w:val="000000"/>
          <w:sz w:val="24"/>
          <w:szCs w:val="24"/>
        </w:rPr>
        <w:t xml:space="preserve"> порамнувањ</w:t>
      </w:r>
      <w:r>
        <w:rPr>
          <w:rFonts w:ascii="Times New Roman" w:hAnsi="Times New Roman"/>
          <w:color w:val="000000"/>
          <w:sz w:val="24"/>
          <w:szCs w:val="24"/>
        </w:rPr>
        <w:t>е</w:t>
      </w:r>
      <w:r w:rsidRPr="00A84F18">
        <w:rPr>
          <w:rFonts w:ascii="Times New Roman" w:hAnsi="Times New Roman"/>
          <w:color w:val="000000"/>
          <w:sz w:val="24"/>
          <w:szCs w:val="24"/>
        </w:rPr>
        <w:t xml:space="preserve"> во платните системи. Одредбите од </w:t>
      </w:r>
      <w:r w:rsidRPr="00A84F18">
        <w:rPr>
          <w:rFonts w:ascii="Times New Roman" w:hAnsi="Times New Roman"/>
          <w:i/>
          <w:iCs/>
          <w:color w:val="000000"/>
          <w:sz w:val="24"/>
          <w:szCs w:val="24"/>
        </w:rPr>
        <w:t xml:space="preserve">правото </w:t>
      </w:r>
      <w:r w:rsidRPr="00721A72">
        <w:rPr>
          <w:rFonts w:ascii="Times New Roman" w:hAnsi="Times New Roman"/>
          <w:iCs/>
          <w:color w:val="000000"/>
          <w:sz w:val="24"/>
          <w:szCs w:val="24"/>
        </w:rPr>
        <w:t>на ЕУ</w:t>
      </w:r>
      <w:r w:rsidRPr="00A84F18">
        <w:rPr>
          <w:rFonts w:ascii="Times New Roman" w:hAnsi="Times New Roman"/>
          <w:i/>
          <w:iCs/>
          <w:color w:val="000000"/>
          <w:sz w:val="24"/>
          <w:szCs w:val="24"/>
        </w:rPr>
        <w:t xml:space="preserve"> </w:t>
      </w:r>
      <w:r w:rsidRPr="00A84F18">
        <w:rPr>
          <w:rFonts w:ascii="Times New Roman" w:hAnsi="Times New Roman"/>
          <w:color w:val="000000"/>
          <w:sz w:val="24"/>
          <w:szCs w:val="24"/>
        </w:rPr>
        <w:t xml:space="preserve">во врска со системи за порамнување хартии од вредност и натаму не се одразени во националното законодавство на Северна Македонија. Законодавството на земјата сѐ уште не е усогласено со Директивата за финансиски колатерал, а новото законодавство во оваа област допрва треба да се донесе. Новиот Закон за финансиска стабилност донесен во август 2022 година </w:t>
      </w:r>
      <w:r>
        <w:rPr>
          <w:rFonts w:ascii="Times New Roman" w:hAnsi="Times New Roman"/>
          <w:color w:val="000000"/>
          <w:sz w:val="24"/>
          <w:szCs w:val="24"/>
        </w:rPr>
        <w:t>ги</w:t>
      </w:r>
      <w:r w:rsidRPr="00A84F18">
        <w:rPr>
          <w:rFonts w:ascii="Times New Roman" w:hAnsi="Times New Roman"/>
          <w:color w:val="000000"/>
          <w:sz w:val="24"/>
          <w:szCs w:val="24"/>
        </w:rPr>
        <w:t xml:space="preserve"> регулира статусот, составот, задачите и функционирањето на Комитетот за финансиска стабилност</w:t>
      </w:r>
      <w:r>
        <w:rPr>
          <w:rFonts w:ascii="Times New Roman" w:hAnsi="Times New Roman"/>
          <w:color w:val="000000"/>
          <w:sz w:val="24"/>
          <w:szCs w:val="24"/>
        </w:rPr>
        <w:t>,</w:t>
      </w:r>
      <w:r w:rsidRPr="00A84F18">
        <w:rPr>
          <w:rFonts w:ascii="Times New Roman" w:hAnsi="Times New Roman"/>
          <w:color w:val="000000"/>
          <w:sz w:val="24"/>
          <w:szCs w:val="24"/>
        </w:rPr>
        <w:t xml:space="preserve"> кој е меѓуинституционално тело што го следи финансискиот систем и предвидува постапки за спречување финансиска нестабилност.</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Во однос на </w:t>
      </w:r>
      <w:r w:rsidRPr="00A84F18">
        <w:rPr>
          <w:rFonts w:ascii="Times New Roman" w:hAnsi="Times New Roman"/>
          <w:b/>
          <w:bCs/>
          <w:color w:val="000000"/>
          <w:sz w:val="24"/>
          <w:szCs w:val="24"/>
        </w:rPr>
        <w:t>пазарите на хартии од вредност и инвестициските услуги</w:t>
      </w:r>
      <w:r w:rsidRPr="00A84F18">
        <w:rPr>
          <w:rFonts w:ascii="Times New Roman" w:hAnsi="Times New Roman"/>
          <w:color w:val="000000"/>
          <w:sz w:val="24"/>
          <w:szCs w:val="24"/>
        </w:rPr>
        <w:t xml:space="preserve">, Комисијата за хартии од вредност издаде законодавство за издавањето и </w:t>
      </w:r>
      <w:r>
        <w:rPr>
          <w:rFonts w:ascii="Times New Roman" w:hAnsi="Times New Roman"/>
          <w:color w:val="000000"/>
          <w:sz w:val="24"/>
          <w:szCs w:val="24"/>
        </w:rPr>
        <w:t xml:space="preserve">за </w:t>
      </w:r>
      <w:r w:rsidRPr="00A84F18">
        <w:rPr>
          <w:rFonts w:ascii="Times New Roman" w:hAnsi="Times New Roman"/>
          <w:color w:val="000000"/>
          <w:sz w:val="24"/>
          <w:szCs w:val="24"/>
        </w:rPr>
        <w:t xml:space="preserve">регистрацијата на странски хартии од вредност на домашните пазари, како што е планирано со втората фаза од ССА. Законодавството и понатаму треба дополнително да се усогласи со </w:t>
      </w:r>
      <w:r w:rsidRPr="00A84F18">
        <w:rPr>
          <w:rFonts w:ascii="Times New Roman" w:hAnsi="Times New Roman"/>
          <w:i/>
          <w:iCs/>
          <w:color w:val="000000"/>
          <w:sz w:val="24"/>
          <w:szCs w:val="24"/>
        </w:rPr>
        <w:t>правото</w:t>
      </w:r>
      <w:r w:rsidRPr="00A84F18">
        <w:rPr>
          <w:rFonts w:ascii="Times New Roman" w:hAnsi="Times New Roman"/>
          <w:color w:val="000000"/>
          <w:sz w:val="24"/>
          <w:szCs w:val="24"/>
        </w:rPr>
        <w:t xml:space="preserve"> на ЕУ, вклучително и со Директивата за пазари на финансиски инструменти, Регулативата за проспект и со Директивата за капитални барања, како и со одредбите за стапки на ликвидност и солвентност за брокерските куќи. Покрај тоа, Северна Македонија и понатаму треба да се усогласи со </w:t>
      </w:r>
      <w:r w:rsidRPr="00A84F18">
        <w:rPr>
          <w:rFonts w:ascii="Times New Roman" w:hAnsi="Times New Roman"/>
          <w:i/>
          <w:iCs/>
          <w:color w:val="000000"/>
          <w:sz w:val="24"/>
          <w:szCs w:val="24"/>
        </w:rPr>
        <w:t xml:space="preserve">правото </w:t>
      </w:r>
      <w:r w:rsidRPr="00A84F18">
        <w:rPr>
          <w:rFonts w:ascii="Times New Roman" w:hAnsi="Times New Roman"/>
          <w:color w:val="000000"/>
          <w:sz w:val="24"/>
          <w:szCs w:val="24"/>
        </w:rPr>
        <w:t xml:space="preserve">на ЕУ во однос на MiFIR (пазари на финансиски инструменти и за изменување на регулативата) и на одредници. Во однос на инвестициски фондови, Северна Македонија донесе законодавство за да се усогласи со Директивата за друштва за колективни инвестиции во преносливи хартии од вредност, но треба дополнително да се усогласува со </w:t>
      </w:r>
      <w:r w:rsidRPr="00721A72">
        <w:rPr>
          <w:rFonts w:ascii="Times New Roman" w:hAnsi="Times New Roman"/>
          <w:i/>
          <w:iCs/>
          <w:color w:val="000000"/>
          <w:sz w:val="24"/>
          <w:szCs w:val="24"/>
        </w:rPr>
        <w:t>правото</w:t>
      </w:r>
      <w:r w:rsidRPr="00A84F18">
        <w:rPr>
          <w:rFonts w:ascii="Times New Roman" w:hAnsi="Times New Roman"/>
          <w:color w:val="000000"/>
          <w:sz w:val="24"/>
          <w:szCs w:val="24"/>
        </w:rPr>
        <w:t xml:space="preserve"> на ЕУ во оваа област. Освен тоа, Северна Македонија треба и понатаму да се усогласува со </w:t>
      </w:r>
      <w:r w:rsidRPr="00721A72">
        <w:rPr>
          <w:rFonts w:ascii="Times New Roman" w:hAnsi="Times New Roman"/>
          <w:i/>
          <w:iCs/>
          <w:color w:val="000000"/>
          <w:sz w:val="24"/>
          <w:szCs w:val="24"/>
        </w:rPr>
        <w:t>правото</w:t>
      </w:r>
      <w:r w:rsidRPr="00A84F18">
        <w:rPr>
          <w:rFonts w:ascii="Times New Roman" w:hAnsi="Times New Roman"/>
          <w:color w:val="000000"/>
          <w:sz w:val="24"/>
          <w:szCs w:val="24"/>
        </w:rPr>
        <w:t xml:space="preserve"> на ЕУ во однос на Директивата за менаџери на алтернативни инвестициски фондови и на Директивата за прекугранична распределба на друштвата за колективно инвестирање во преносливи хартии од вредност.</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Во однос на </w:t>
      </w:r>
      <w:r w:rsidRPr="00A84F18">
        <w:rPr>
          <w:rFonts w:ascii="Times New Roman" w:hAnsi="Times New Roman"/>
          <w:b/>
          <w:bCs/>
          <w:color w:val="000000"/>
          <w:sz w:val="24"/>
          <w:szCs w:val="24"/>
        </w:rPr>
        <w:t>одржливи и дигитални финансии</w:t>
      </w:r>
      <w:r w:rsidRPr="00A84F18">
        <w:rPr>
          <w:rFonts w:ascii="Times New Roman" w:hAnsi="Times New Roman"/>
          <w:color w:val="000000"/>
          <w:sz w:val="24"/>
          <w:szCs w:val="24"/>
        </w:rPr>
        <w:t xml:space="preserve">, Северна Македонија сѐ уште не е усогласена со </w:t>
      </w:r>
      <w:r w:rsidRPr="00A84F18">
        <w:rPr>
          <w:rFonts w:ascii="Times New Roman" w:hAnsi="Times New Roman"/>
          <w:i/>
          <w:iCs/>
          <w:color w:val="000000"/>
          <w:sz w:val="24"/>
          <w:szCs w:val="24"/>
        </w:rPr>
        <w:t xml:space="preserve">правото </w:t>
      </w:r>
      <w:r w:rsidRPr="00A84F18">
        <w:rPr>
          <w:rFonts w:ascii="Times New Roman" w:hAnsi="Times New Roman"/>
          <w:color w:val="000000"/>
          <w:sz w:val="24"/>
          <w:szCs w:val="24"/>
        </w:rPr>
        <w:t>на ЕУ за таксономија, ниту со Одредниците за климатска транзиција на ЕУ, Одредниците усогласени со Парискиот договор на ЕУ и известувања за одредници поврзани со одржливост. Народната банка почна да работи на развој на Стратегија за управување со климатски ризици</w:t>
      </w:r>
      <w:r>
        <w:rPr>
          <w:rFonts w:ascii="Times New Roman" w:hAnsi="Times New Roman"/>
          <w:color w:val="000000"/>
          <w:sz w:val="24"/>
          <w:szCs w:val="24"/>
        </w:rPr>
        <w:t>,</w:t>
      </w:r>
      <w:r w:rsidRPr="00A84F18">
        <w:rPr>
          <w:rFonts w:ascii="Times New Roman" w:hAnsi="Times New Roman"/>
          <w:color w:val="000000"/>
          <w:sz w:val="24"/>
          <w:szCs w:val="24"/>
        </w:rPr>
        <w:t xml:space="preserve"> во која ќе бидат опфатени регулаторни и надзорни активности, како и активности во врска со следењето на влијанието на овие ризици врз финансиската стабилност. Како дел од стратегијата, Северна Македонија донесе Одлука за методологијата за управување со кредитниот ризик во февруари 2023 година, според која од банките ќе се бара соодветно да ги инкорпорираат климатските ризици во нивното управување со кредитен ризик, почнувајќи од јануари 2025 година. На крај, берзата на земјата подготви Водич за животната средина, општествените прашања и управувањето на компаниите (ESG) за котираните компании, со цел да ја подигне свеста кај креаторите на политики, </w:t>
      </w:r>
      <w:r>
        <w:rPr>
          <w:rFonts w:ascii="Times New Roman" w:hAnsi="Times New Roman"/>
          <w:color w:val="000000"/>
          <w:sz w:val="24"/>
          <w:szCs w:val="24"/>
        </w:rPr>
        <w:t xml:space="preserve">кај </w:t>
      </w:r>
      <w:r w:rsidRPr="00A84F18">
        <w:rPr>
          <w:rFonts w:ascii="Times New Roman" w:hAnsi="Times New Roman"/>
          <w:color w:val="000000"/>
          <w:sz w:val="24"/>
          <w:szCs w:val="24"/>
        </w:rPr>
        <w:t xml:space="preserve">регулаторните и </w:t>
      </w:r>
      <w:r>
        <w:rPr>
          <w:rFonts w:ascii="Times New Roman" w:hAnsi="Times New Roman"/>
          <w:color w:val="000000"/>
          <w:sz w:val="24"/>
          <w:szCs w:val="24"/>
        </w:rPr>
        <w:t xml:space="preserve">кај </w:t>
      </w:r>
      <w:r w:rsidRPr="00A84F18">
        <w:rPr>
          <w:rFonts w:ascii="Times New Roman" w:hAnsi="Times New Roman"/>
          <w:color w:val="000000"/>
          <w:sz w:val="24"/>
          <w:szCs w:val="24"/>
        </w:rPr>
        <w:t>институционалните инвеститори.</w:t>
      </w:r>
    </w:p>
    <w:p w:rsidR="00B76D43" w:rsidRPr="00A84F18" w:rsidRDefault="00B76D43" w:rsidP="008D6AE4">
      <w:pPr>
        <w:pStyle w:val="Heading2"/>
      </w:pPr>
      <w:bookmarkStart w:id="67" w:name="bookmark43"/>
      <w:bookmarkStart w:id="68" w:name="_Toc150411749"/>
      <w:r w:rsidRPr="00A84F18">
        <w:t>П</w:t>
      </w:r>
      <w:bookmarkEnd w:id="67"/>
      <w:r w:rsidRPr="00A84F18">
        <w:t>оглавје 28: Заштита на потрошувачи и здравствена заштита</w:t>
      </w:r>
      <w:bookmarkEnd w:id="68"/>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i/>
          <w:iCs/>
          <w:color w:val="000000"/>
          <w:sz w:val="24"/>
          <w:szCs w:val="24"/>
        </w:rPr>
        <w:t>Правилата на ЕУ ги штитат економските интереси на потрошувачите и во однос на безбедност на производите, опасни имитации и одговорност за неисправни производи. ЕУ, исто така, обезбедува високи заеднички стандарди за контрола на тутун, крв, ткива, клетки и органи и лекови за човечка и ветеринарна употреба. Исто така, ЕУ има правила за почитување на правата на пациентите во прекуграничната здравствена заштита и за подготовка и справување со прекуграничните здравствени закани.</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Во областа на заштита на потрошувачи</w:t>
      </w:r>
      <w:r>
        <w:rPr>
          <w:rFonts w:ascii="Times New Roman" w:hAnsi="Times New Roman"/>
          <w:color w:val="000000"/>
          <w:sz w:val="24"/>
          <w:szCs w:val="24"/>
        </w:rPr>
        <w:t>те</w:t>
      </w:r>
      <w:r w:rsidRPr="00A84F18">
        <w:rPr>
          <w:rFonts w:ascii="Times New Roman" w:hAnsi="Times New Roman"/>
          <w:color w:val="000000"/>
          <w:sz w:val="24"/>
          <w:szCs w:val="24"/>
        </w:rPr>
        <w:t xml:space="preserve"> и здравствена</w:t>
      </w:r>
      <w:r>
        <w:rPr>
          <w:rFonts w:ascii="Times New Roman" w:hAnsi="Times New Roman"/>
          <w:color w:val="000000"/>
          <w:sz w:val="24"/>
          <w:szCs w:val="24"/>
        </w:rPr>
        <w:t>та</w:t>
      </w:r>
      <w:r w:rsidRPr="00A84F18">
        <w:rPr>
          <w:rFonts w:ascii="Times New Roman" w:hAnsi="Times New Roman"/>
          <w:color w:val="000000"/>
          <w:sz w:val="24"/>
          <w:szCs w:val="24"/>
        </w:rPr>
        <w:t xml:space="preserve"> заштита, Северна Македонија останува </w:t>
      </w:r>
      <w:r w:rsidRPr="00A84F18">
        <w:rPr>
          <w:rFonts w:ascii="Times New Roman" w:hAnsi="Times New Roman"/>
          <w:b/>
          <w:bCs/>
          <w:color w:val="000000"/>
          <w:sz w:val="24"/>
          <w:szCs w:val="24"/>
        </w:rPr>
        <w:t>умерено подготвена</w:t>
      </w:r>
      <w:r w:rsidRPr="00A84F18">
        <w:rPr>
          <w:rFonts w:ascii="Times New Roman" w:hAnsi="Times New Roman"/>
          <w:color w:val="000000"/>
          <w:sz w:val="24"/>
          <w:szCs w:val="24"/>
        </w:rPr>
        <w:t xml:space="preserve">. </w:t>
      </w:r>
      <w:r w:rsidRPr="00721A72">
        <w:rPr>
          <w:rFonts w:ascii="Times New Roman" w:hAnsi="Times New Roman"/>
          <w:bCs/>
          <w:color w:val="000000"/>
          <w:sz w:val="24"/>
          <w:szCs w:val="24"/>
        </w:rPr>
        <w:t>Постигнат е</w:t>
      </w:r>
      <w:r w:rsidRPr="00A84F18">
        <w:rPr>
          <w:rFonts w:ascii="Times New Roman" w:hAnsi="Times New Roman"/>
          <w:b/>
          <w:bCs/>
          <w:color w:val="000000"/>
          <w:sz w:val="24"/>
          <w:szCs w:val="24"/>
        </w:rPr>
        <w:t xml:space="preserve"> одреден напредок </w:t>
      </w:r>
      <w:r w:rsidRPr="00A84F18">
        <w:rPr>
          <w:rFonts w:ascii="Times New Roman" w:hAnsi="Times New Roman"/>
          <w:color w:val="000000"/>
          <w:sz w:val="24"/>
          <w:szCs w:val="24"/>
        </w:rPr>
        <w:t xml:space="preserve">во примена на минатогодишните препораки, со донесување </w:t>
      </w:r>
      <w:r>
        <w:rPr>
          <w:rFonts w:ascii="Times New Roman" w:hAnsi="Times New Roman"/>
          <w:color w:val="000000"/>
          <w:sz w:val="24"/>
          <w:szCs w:val="24"/>
        </w:rPr>
        <w:t xml:space="preserve">на </w:t>
      </w:r>
      <w:r w:rsidRPr="00A84F18">
        <w:rPr>
          <w:rFonts w:ascii="Times New Roman" w:hAnsi="Times New Roman"/>
          <w:color w:val="000000"/>
          <w:sz w:val="24"/>
          <w:szCs w:val="24"/>
        </w:rPr>
        <w:t xml:space="preserve">новиот Закон за заштита на потрошувачите, кој е осмислен да биде усогласен со многу точки од </w:t>
      </w:r>
      <w:r w:rsidRPr="00A84F18">
        <w:rPr>
          <w:rFonts w:ascii="Times New Roman" w:hAnsi="Times New Roman"/>
          <w:i/>
          <w:iCs/>
          <w:color w:val="000000"/>
          <w:sz w:val="24"/>
          <w:szCs w:val="24"/>
        </w:rPr>
        <w:t>правото</w:t>
      </w:r>
      <w:r w:rsidRPr="00A84F18">
        <w:rPr>
          <w:rFonts w:ascii="Times New Roman" w:hAnsi="Times New Roman"/>
          <w:color w:val="000000"/>
          <w:sz w:val="24"/>
          <w:szCs w:val="24"/>
        </w:rPr>
        <w:t xml:space="preserve"> на ЕУ за потрошувачи. Другите препораки остануваат во важност. Извршена беше и првата трансплантација на црн дроб во земјата. Остануваат уште многу предизвици што треба да се решат во областа на јавното здравје, особено во однос на контролата на тутунот, а достапноста, опсегот на услуги, географската распределеност и финансирањето на примарното здравство, како и скринингот за рак</w:t>
      </w:r>
      <w:r>
        <w:rPr>
          <w:rFonts w:ascii="Times New Roman" w:hAnsi="Times New Roman"/>
          <w:color w:val="000000"/>
          <w:sz w:val="24"/>
          <w:szCs w:val="24"/>
        </w:rPr>
        <w:t>,</w:t>
      </w:r>
      <w:r w:rsidRPr="00A84F18">
        <w:rPr>
          <w:rFonts w:ascii="Times New Roman" w:hAnsi="Times New Roman"/>
          <w:color w:val="000000"/>
          <w:sz w:val="24"/>
          <w:szCs w:val="24"/>
        </w:rPr>
        <w:t xml:space="preserve"> може да се подобрат. Усогласеноста со </w:t>
      </w:r>
      <w:r w:rsidRPr="00A84F18">
        <w:rPr>
          <w:rFonts w:ascii="Times New Roman" w:hAnsi="Times New Roman"/>
          <w:i/>
          <w:iCs/>
          <w:color w:val="000000"/>
          <w:sz w:val="24"/>
          <w:szCs w:val="24"/>
        </w:rPr>
        <w:t xml:space="preserve">правото </w:t>
      </w:r>
      <w:r w:rsidRPr="00A84F18">
        <w:rPr>
          <w:rFonts w:ascii="Times New Roman" w:hAnsi="Times New Roman"/>
          <w:color w:val="000000"/>
          <w:sz w:val="24"/>
          <w:szCs w:val="24"/>
        </w:rPr>
        <w:t>на ЕУ во однос на здравството и понатаму не е целосна.</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Во текот на наредната година, земјата особено треба:</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w:t>
      </w:r>
      <w:r w:rsidRPr="00A84F18">
        <w:rPr>
          <w:rFonts w:ascii="Times New Roman" w:hAnsi="Times New Roman"/>
          <w:color w:val="000000"/>
          <w:sz w:val="24"/>
          <w:szCs w:val="24"/>
        </w:rPr>
        <w:tab/>
        <w:t xml:space="preserve">да </w:t>
      </w:r>
      <w:r>
        <w:rPr>
          <w:rFonts w:ascii="Times New Roman" w:hAnsi="Times New Roman"/>
          <w:color w:val="000000"/>
          <w:sz w:val="24"/>
          <w:szCs w:val="24"/>
        </w:rPr>
        <w:t xml:space="preserve">ја </w:t>
      </w:r>
      <w:r w:rsidRPr="00A84F18">
        <w:rPr>
          <w:rFonts w:ascii="Times New Roman" w:hAnsi="Times New Roman"/>
          <w:color w:val="000000"/>
          <w:sz w:val="24"/>
          <w:szCs w:val="24"/>
        </w:rPr>
        <w:t>донесе и да почне да ја спроведува следната тригодишна стратегија за заштита на потрошувачите и да го зајакне капацитетот за надзор на пазарот;</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w:t>
      </w:r>
      <w:r w:rsidRPr="00A84F18">
        <w:rPr>
          <w:rFonts w:ascii="Times New Roman" w:hAnsi="Times New Roman"/>
          <w:color w:val="000000"/>
          <w:sz w:val="24"/>
          <w:szCs w:val="24"/>
        </w:rPr>
        <w:tab/>
        <w:t xml:space="preserve">да ги </w:t>
      </w:r>
      <w:r>
        <w:rPr>
          <w:rFonts w:ascii="Times New Roman" w:hAnsi="Times New Roman"/>
          <w:color w:val="000000"/>
          <w:sz w:val="24"/>
          <w:szCs w:val="24"/>
        </w:rPr>
        <w:t>засили</w:t>
      </w:r>
      <w:r w:rsidRPr="00A84F18">
        <w:rPr>
          <w:rFonts w:ascii="Times New Roman" w:hAnsi="Times New Roman"/>
          <w:color w:val="000000"/>
          <w:sz w:val="24"/>
          <w:szCs w:val="24"/>
        </w:rPr>
        <w:t xml:space="preserve"> заложбите за контрола на тутунот со ефективно спроведување на релевантното </w:t>
      </w:r>
      <w:r w:rsidRPr="00A84F18">
        <w:rPr>
          <w:rFonts w:ascii="Times New Roman" w:hAnsi="Times New Roman"/>
          <w:i/>
          <w:iCs/>
          <w:color w:val="000000"/>
          <w:sz w:val="24"/>
          <w:szCs w:val="24"/>
        </w:rPr>
        <w:t xml:space="preserve">право </w:t>
      </w:r>
      <w:r w:rsidRPr="00A84F18">
        <w:rPr>
          <w:rFonts w:ascii="Times New Roman" w:hAnsi="Times New Roman"/>
          <w:color w:val="000000"/>
          <w:sz w:val="24"/>
          <w:szCs w:val="24"/>
        </w:rPr>
        <w:t>на ЕУ и со ратификување на Протоколот за елиминација на недозволена трговија со тутунски производи;</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w:t>
      </w:r>
      <w:r w:rsidRPr="00A84F18">
        <w:rPr>
          <w:rFonts w:ascii="Times New Roman" w:hAnsi="Times New Roman"/>
          <w:color w:val="000000"/>
          <w:sz w:val="24"/>
          <w:szCs w:val="24"/>
        </w:rPr>
        <w:tab/>
        <w:t>да обезбеди соодветно финансирање и капацитет за рано откривање рак и ретки болести врз основа на податоците од регистрите.</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u w:val="single"/>
        </w:rPr>
        <w:t>Заштита на потрошувачите</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Земјата донесе нов Закон за </w:t>
      </w:r>
      <w:r w:rsidRPr="00A84F18">
        <w:rPr>
          <w:rFonts w:ascii="Times New Roman" w:hAnsi="Times New Roman"/>
          <w:b/>
          <w:bCs/>
          <w:color w:val="000000"/>
          <w:sz w:val="24"/>
          <w:szCs w:val="24"/>
        </w:rPr>
        <w:t xml:space="preserve">заштита на потрошувачите </w:t>
      </w:r>
      <w:r w:rsidRPr="00A84F18">
        <w:rPr>
          <w:rFonts w:ascii="Times New Roman" w:hAnsi="Times New Roman"/>
          <w:color w:val="000000"/>
          <w:sz w:val="24"/>
          <w:szCs w:val="24"/>
        </w:rPr>
        <w:t xml:space="preserve">осмислен за усогласување со дел од </w:t>
      </w:r>
      <w:r w:rsidRPr="00A84F18">
        <w:rPr>
          <w:rFonts w:ascii="Times New Roman" w:hAnsi="Times New Roman"/>
          <w:i/>
          <w:iCs/>
          <w:color w:val="000000"/>
          <w:sz w:val="24"/>
          <w:szCs w:val="24"/>
        </w:rPr>
        <w:t>правото</w:t>
      </w:r>
      <w:r w:rsidRPr="00A84F18">
        <w:rPr>
          <w:rFonts w:ascii="Times New Roman" w:hAnsi="Times New Roman"/>
          <w:color w:val="000000"/>
          <w:sz w:val="24"/>
          <w:szCs w:val="24"/>
        </w:rPr>
        <w:t xml:space="preserve"> на ЕУ за потрошувачи, вклучувајќи го и </w:t>
      </w:r>
      <w:r w:rsidRPr="00A84F18">
        <w:rPr>
          <w:rFonts w:ascii="Times New Roman" w:hAnsi="Times New Roman"/>
          <w:i/>
          <w:iCs/>
          <w:color w:val="000000"/>
          <w:sz w:val="24"/>
          <w:szCs w:val="24"/>
        </w:rPr>
        <w:t xml:space="preserve">правото </w:t>
      </w:r>
      <w:r w:rsidRPr="00A84F18">
        <w:rPr>
          <w:rFonts w:ascii="Times New Roman" w:hAnsi="Times New Roman"/>
          <w:iCs/>
          <w:color w:val="000000"/>
          <w:sz w:val="24"/>
          <w:szCs w:val="24"/>
        </w:rPr>
        <w:t>на ЕУ</w:t>
      </w:r>
      <w:r w:rsidRPr="00A84F18">
        <w:rPr>
          <w:rFonts w:ascii="Times New Roman" w:hAnsi="Times New Roman"/>
          <w:i/>
          <w:iCs/>
          <w:color w:val="000000"/>
          <w:sz w:val="24"/>
          <w:szCs w:val="24"/>
        </w:rPr>
        <w:t xml:space="preserve"> </w:t>
      </w:r>
      <w:r w:rsidRPr="00A84F18">
        <w:rPr>
          <w:rFonts w:ascii="Times New Roman" w:hAnsi="Times New Roman"/>
          <w:color w:val="000000"/>
          <w:sz w:val="24"/>
          <w:szCs w:val="24"/>
        </w:rPr>
        <w:t xml:space="preserve">со кое се утврдуваат правила за нефер услови во потрошувачките договори, нефер комерцијални практики меѓу бизнисите и потрошувачите, означување на цената, временски ограничено користење недвижност и долгорочни производи за одмор, договори за препродажба и размена, права на потрошувачите, дигитални содржини и услуги и продажба на стоки. Исто така, Законот за заштита на потрошувачите е осмислен за усогласување со последните промени на </w:t>
      </w:r>
      <w:r w:rsidRPr="00A84F18">
        <w:rPr>
          <w:rFonts w:ascii="Times New Roman" w:hAnsi="Times New Roman"/>
          <w:i/>
          <w:iCs/>
          <w:color w:val="000000"/>
          <w:sz w:val="24"/>
          <w:szCs w:val="24"/>
        </w:rPr>
        <w:t xml:space="preserve">правото </w:t>
      </w:r>
      <w:r w:rsidRPr="00A84F18">
        <w:rPr>
          <w:rFonts w:ascii="Times New Roman" w:hAnsi="Times New Roman"/>
          <w:color w:val="000000"/>
          <w:sz w:val="24"/>
          <w:szCs w:val="24"/>
        </w:rPr>
        <w:t xml:space="preserve">на ЕУ за потрошувачи воведени со Директивата (ЕУ) бр. 2019/2161 за подобро спроведување и модернизација на правилата за заштита на потрошувачите на Унијата и со </w:t>
      </w:r>
      <w:r w:rsidRPr="00A84F18">
        <w:rPr>
          <w:rFonts w:ascii="Times New Roman" w:hAnsi="Times New Roman"/>
          <w:i/>
          <w:iCs/>
          <w:color w:val="000000"/>
          <w:sz w:val="24"/>
          <w:szCs w:val="24"/>
        </w:rPr>
        <w:t xml:space="preserve">правото </w:t>
      </w:r>
      <w:r w:rsidRPr="00A84F18">
        <w:rPr>
          <w:rFonts w:ascii="Times New Roman" w:hAnsi="Times New Roman"/>
          <w:color w:val="000000"/>
          <w:sz w:val="24"/>
          <w:szCs w:val="24"/>
        </w:rPr>
        <w:t xml:space="preserve">на ЕУ за одговорност за неисправни производи (релевантно за безбедноста на производите – видете подолу), иако за ова сè уште треба да се донесе законодавство за спроведување. Националното законодавство сè уште не е усогласено со тековното </w:t>
      </w:r>
      <w:r w:rsidRPr="00A84F18">
        <w:rPr>
          <w:rFonts w:ascii="Times New Roman" w:hAnsi="Times New Roman"/>
          <w:i/>
          <w:iCs/>
          <w:color w:val="000000"/>
          <w:sz w:val="24"/>
          <w:szCs w:val="24"/>
        </w:rPr>
        <w:t xml:space="preserve">право </w:t>
      </w:r>
      <w:r w:rsidRPr="00A84F18">
        <w:rPr>
          <w:rFonts w:ascii="Times New Roman" w:hAnsi="Times New Roman"/>
          <w:color w:val="000000"/>
          <w:sz w:val="24"/>
          <w:szCs w:val="24"/>
        </w:rPr>
        <w:t xml:space="preserve">на ЕУ за патувања преку пакет-аранжмани. Во Законот за заштита на потрошувачите јасно се утврдени одговорностите на физичките и на правните комерцијални тела </w:t>
      </w:r>
      <w:r>
        <w:rPr>
          <w:rFonts w:ascii="Times New Roman" w:hAnsi="Times New Roman"/>
          <w:color w:val="000000"/>
          <w:sz w:val="24"/>
          <w:szCs w:val="24"/>
        </w:rPr>
        <w:t>спрема</w:t>
      </w:r>
      <w:r w:rsidRPr="00A84F18">
        <w:rPr>
          <w:rFonts w:ascii="Times New Roman" w:hAnsi="Times New Roman"/>
          <w:color w:val="000000"/>
          <w:sz w:val="24"/>
          <w:szCs w:val="24"/>
        </w:rPr>
        <w:t xml:space="preserve"> потрошувачите. Допрва треба да се донесе следната тригодишна стратегија за заштита на потрошувачите. Сè уште треба да се развие веб-платформата што обезбедува информации за заштита на потрошувачите. Програмата за медијација и понатаму е скапа и тешко достапна за потрошувачите.</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Постигнат е одреден напредок и во усогласувањето на националните правила за </w:t>
      </w:r>
      <w:r w:rsidRPr="00A84F18">
        <w:rPr>
          <w:rFonts w:ascii="Times New Roman" w:hAnsi="Times New Roman"/>
          <w:b/>
          <w:bCs/>
          <w:color w:val="000000"/>
          <w:sz w:val="24"/>
          <w:szCs w:val="24"/>
        </w:rPr>
        <w:t xml:space="preserve">безбедност на производите </w:t>
      </w:r>
      <w:r w:rsidRPr="00A84F18">
        <w:rPr>
          <w:rFonts w:ascii="Times New Roman" w:hAnsi="Times New Roman"/>
          <w:color w:val="000000"/>
          <w:sz w:val="24"/>
          <w:szCs w:val="24"/>
        </w:rPr>
        <w:t xml:space="preserve">со </w:t>
      </w:r>
      <w:r w:rsidRPr="00A84F18">
        <w:rPr>
          <w:rFonts w:ascii="Times New Roman" w:hAnsi="Times New Roman"/>
          <w:i/>
          <w:iCs/>
          <w:color w:val="000000"/>
          <w:sz w:val="24"/>
          <w:szCs w:val="24"/>
        </w:rPr>
        <w:t>правото на ЕУ (вид</w:t>
      </w:r>
      <w:r w:rsidR="00652875">
        <w:rPr>
          <w:rFonts w:ascii="Times New Roman" w:hAnsi="Times New Roman"/>
          <w:i/>
          <w:iCs/>
          <w:color w:val="000000"/>
          <w:sz w:val="24"/>
          <w:szCs w:val="24"/>
        </w:rPr>
        <w:t>ете</w:t>
      </w:r>
      <w:r w:rsidRPr="00A84F18">
        <w:rPr>
          <w:rFonts w:ascii="Times New Roman" w:hAnsi="Times New Roman"/>
          <w:i/>
          <w:iCs/>
          <w:color w:val="000000"/>
          <w:sz w:val="24"/>
          <w:szCs w:val="24"/>
        </w:rPr>
        <w:t xml:space="preserve"> погоре)</w:t>
      </w:r>
      <w:r w:rsidRPr="00A84F18">
        <w:rPr>
          <w:rFonts w:ascii="Times New Roman" w:hAnsi="Times New Roman"/>
          <w:color w:val="000000"/>
          <w:sz w:val="24"/>
          <w:szCs w:val="24"/>
        </w:rPr>
        <w:t xml:space="preserve">. Сега, земјата треба да го донесе законодавството за спроведување што е неопходно </w:t>
      </w:r>
      <w:r>
        <w:rPr>
          <w:rFonts w:ascii="Times New Roman" w:hAnsi="Times New Roman"/>
          <w:color w:val="000000"/>
          <w:sz w:val="24"/>
          <w:szCs w:val="24"/>
        </w:rPr>
        <w:t xml:space="preserve">за </w:t>
      </w:r>
      <w:r w:rsidRPr="00A84F18">
        <w:rPr>
          <w:rFonts w:ascii="Times New Roman" w:hAnsi="Times New Roman"/>
          <w:color w:val="000000"/>
          <w:sz w:val="24"/>
          <w:szCs w:val="24"/>
        </w:rPr>
        <w:t xml:space="preserve">да се комплетира усогласувањето со Директивата за општа безбедност на производите на ЕУ. Државниот пазарен инспекторат ги засили инспекциите според националниот Закон за општа безбедност на производите (500 во 2022 година за разлика од 428 во 2021 година) и изврши 130 инспекции според Законот за градежни производи. Инспекторатот ја одржуваше добрата соработка со царината за контрола на штетни производи на пазарот. Бројот на инспекции се зголеми на 4.838 во извештајниот период. Бројот на лиценцирани инспектори (170) и понатаму не е доволен бидејќи голем дел од кадарот е пред пензија. Во однос на </w:t>
      </w:r>
      <w:r w:rsidRPr="00A84F18">
        <w:rPr>
          <w:rFonts w:ascii="Times New Roman" w:hAnsi="Times New Roman"/>
          <w:b/>
          <w:bCs/>
          <w:color w:val="000000"/>
          <w:sz w:val="24"/>
          <w:szCs w:val="24"/>
        </w:rPr>
        <w:t>прашања што не се поврзани со безбедноста</w:t>
      </w:r>
      <w:r w:rsidRPr="00721A72">
        <w:rPr>
          <w:rFonts w:ascii="Times New Roman" w:hAnsi="Times New Roman"/>
          <w:color w:val="000000"/>
          <w:sz w:val="24"/>
          <w:szCs w:val="24"/>
        </w:rPr>
        <w:t>,</w:t>
      </w:r>
      <w:r w:rsidRPr="00A84F18">
        <w:rPr>
          <w:rFonts w:ascii="Times New Roman" w:hAnsi="Times New Roman"/>
          <w:b/>
          <w:bCs/>
          <w:color w:val="000000"/>
          <w:sz w:val="24"/>
          <w:szCs w:val="24"/>
        </w:rPr>
        <w:t xml:space="preserve"> </w:t>
      </w:r>
      <w:r w:rsidRPr="00A84F18">
        <w:rPr>
          <w:rFonts w:ascii="Times New Roman" w:hAnsi="Times New Roman"/>
          <w:color w:val="000000"/>
          <w:sz w:val="24"/>
          <w:szCs w:val="24"/>
        </w:rPr>
        <w:t>потребни се дополнителни напори за да се изготви упатството и постапката за жалби на потрошувачите и средства за надоместок.</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u w:val="single"/>
        </w:rPr>
        <w:t>Јавно здравје</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Примарното </w:t>
      </w:r>
      <w:r w:rsidRPr="00A84F18">
        <w:rPr>
          <w:rFonts w:ascii="Times New Roman" w:hAnsi="Times New Roman"/>
          <w:b/>
          <w:bCs/>
          <w:color w:val="000000"/>
          <w:sz w:val="24"/>
          <w:szCs w:val="24"/>
        </w:rPr>
        <w:t xml:space="preserve">здравство </w:t>
      </w:r>
      <w:r w:rsidRPr="00A84F18">
        <w:rPr>
          <w:rFonts w:ascii="Times New Roman" w:hAnsi="Times New Roman"/>
          <w:color w:val="000000"/>
          <w:sz w:val="24"/>
          <w:szCs w:val="24"/>
        </w:rPr>
        <w:t>во Северна Македонија е бесплатно. Сепак, достапноста, опсегот на услуги, географската распореденост и финансирањето на примарното здравство</w:t>
      </w:r>
      <w:r>
        <w:rPr>
          <w:rFonts w:ascii="Times New Roman" w:hAnsi="Times New Roman"/>
          <w:color w:val="000000"/>
          <w:sz w:val="24"/>
          <w:szCs w:val="24"/>
        </w:rPr>
        <w:t>,</w:t>
      </w:r>
      <w:r w:rsidRPr="00A84F18">
        <w:rPr>
          <w:rFonts w:ascii="Times New Roman" w:hAnsi="Times New Roman"/>
          <w:color w:val="000000"/>
          <w:sz w:val="24"/>
          <w:szCs w:val="24"/>
        </w:rPr>
        <w:t xml:space="preserve"> би </w:t>
      </w:r>
      <w:r>
        <w:rPr>
          <w:rFonts w:ascii="Times New Roman" w:hAnsi="Times New Roman"/>
          <w:color w:val="000000"/>
          <w:sz w:val="24"/>
          <w:szCs w:val="24"/>
        </w:rPr>
        <w:t>можело</w:t>
      </w:r>
      <w:r w:rsidRPr="00A84F18">
        <w:rPr>
          <w:rFonts w:ascii="Times New Roman" w:hAnsi="Times New Roman"/>
          <w:color w:val="000000"/>
          <w:sz w:val="24"/>
          <w:szCs w:val="24"/>
        </w:rPr>
        <w:t xml:space="preserve"> да се подобрат. Во текот на извештајниот период, апликацијата </w:t>
      </w:r>
      <w:r w:rsidRPr="00A84F18">
        <w:rPr>
          <w:rFonts w:ascii="Times New Roman" w:hAnsi="Times New Roman"/>
          <w:b/>
          <w:bCs/>
          <w:color w:val="000000"/>
          <w:sz w:val="24"/>
          <w:szCs w:val="24"/>
        </w:rPr>
        <w:t xml:space="preserve">e-здравство </w:t>
      </w:r>
      <w:r w:rsidRPr="00A84F18">
        <w:rPr>
          <w:rFonts w:ascii="Times New Roman" w:hAnsi="Times New Roman"/>
          <w:color w:val="000000"/>
          <w:sz w:val="24"/>
          <w:szCs w:val="24"/>
        </w:rPr>
        <w:t xml:space="preserve">беше ажурирана со нови функционалности и нови модули, а беше пуштена во употреба и мобилната апликација „Мое </w:t>
      </w:r>
      <w:r>
        <w:rPr>
          <w:rFonts w:ascii="Times New Roman" w:hAnsi="Times New Roman"/>
          <w:color w:val="000000"/>
          <w:sz w:val="24"/>
          <w:szCs w:val="24"/>
        </w:rPr>
        <w:t>з</w:t>
      </w:r>
      <w:r w:rsidRPr="00A84F18">
        <w:rPr>
          <w:rFonts w:ascii="Times New Roman" w:hAnsi="Times New Roman"/>
          <w:color w:val="000000"/>
          <w:sz w:val="24"/>
          <w:szCs w:val="24"/>
        </w:rPr>
        <w:t xml:space="preserve">дравје“. Со неа пациентите имаат пристап до </w:t>
      </w:r>
      <w:r>
        <w:rPr>
          <w:rFonts w:ascii="Times New Roman" w:hAnsi="Times New Roman"/>
          <w:color w:val="000000"/>
          <w:sz w:val="24"/>
          <w:szCs w:val="24"/>
        </w:rPr>
        <w:t>своите</w:t>
      </w:r>
      <w:r w:rsidRPr="00A84F18">
        <w:rPr>
          <w:rFonts w:ascii="Times New Roman" w:hAnsi="Times New Roman"/>
          <w:color w:val="000000"/>
          <w:sz w:val="24"/>
          <w:szCs w:val="24"/>
        </w:rPr>
        <w:t xml:space="preserve"> медицински картони, вклучувајќи и на какви прегледи биле, упати за специјалисти, рецепти, примени вакцини и соодветни потврди. Сѐ уште има недостиг од одредени специјалисти. Соодносот на лекари и медицински сестри на 100</w:t>
      </w:r>
      <w:r>
        <w:rPr>
          <w:rFonts w:ascii="Times New Roman" w:hAnsi="Times New Roman"/>
          <w:color w:val="000000"/>
          <w:sz w:val="24"/>
          <w:szCs w:val="24"/>
        </w:rPr>
        <w:t>.</w:t>
      </w:r>
      <w:r w:rsidRPr="00A84F18">
        <w:rPr>
          <w:rFonts w:ascii="Times New Roman" w:hAnsi="Times New Roman"/>
          <w:color w:val="000000"/>
          <w:sz w:val="24"/>
          <w:szCs w:val="24"/>
        </w:rPr>
        <w:t>000 жители и понатаму е под просекот на ЕУ, а медицинскиот кадар, медицинските сестри и специјалистите продолжуваат да си заминуваат од јавното здравство за да работат или во приватниот сектор или во странство. Покривањето трошоци за здравствена грижа од сопствен џеб останува на високо ниво, и тоа 38 %, што претставува пречка за еднаков пристап до здравствената заштита.</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Не е постигнат напредок во однос на </w:t>
      </w:r>
      <w:r w:rsidRPr="00A84F18">
        <w:rPr>
          <w:rFonts w:ascii="Times New Roman" w:hAnsi="Times New Roman"/>
          <w:b/>
          <w:bCs/>
          <w:color w:val="000000"/>
          <w:sz w:val="24"/>
          <w:szCs w:val="24"/>
        </w:rPr>
        <w:t>контролата на тутунот</w:t>
      </w:r>
      <w:r w:rsidRPr="00A84F18">
        <w:rPr>
          <w:rFonts w:ascii="Times New Roman" w:hAnsi="Times New Roman"/>
          <w:color w:val="000000"/>
          <w:sz w:val="24"/>
          <w:szCs w:val="24"/>
        </w:rPr>
        <w:t xml:space="preserve">. Иако воспоставените институционална и правна рамка се во голема мера усогласени со </w:t>
      </w:r>
      <w:r w:rsidRPr="00A84F18">
        <w:rPr>
          <w:rFonts w:ascii="Times New Roman" w:hAnsi="Times New Roman"/>
          <w:i/>
          <w:iCs/>
          <w:color w:val="000000"/>
          <w:sz w:val="24"/>
          <w:szCs w:val="24"/>
        </w:rPr>
        <w:t xml:space="preserve">правото </w:t>
      </w:r>
      <w:r w:rsidRPr="00A84F18">
        <w:rPr>
          <w:rFonts w:ascii="Times New Roman" w:hAnsi="Times New Roman"/>
          <w:color w:val="000000"/>
          <w:sz w:val="24"/>
          <w:szCs w:val="24"/>
        </w:rPr>
        <w:t xml:space="preserve">на ЕУ за пушење на јавни места, сѐ уште не се систематски спроведени и пушењето сѐ уште се толерира и не е санкционирано, особено во ресторани и на други места, дури и во некои затворени простории. Пушењето на јавни места треба да биде казниво во согласност со </w:t>
      </w:r>
      <w:r w:rsidRPr="00A84F18">
        <w:rPr>
          <w:rFonts w:ascii="Times New Roman" w:hAnsi="Times New Roman"/>
          <w:i/>
          <w:iCs/>
          <w:color w:val="000000"/>
          <w:sz w:val="24"/>
          <w:szCs w:val="24"/>
        </w:rPr>
        <w:t>правото</w:t>
      </w:r>
      <w:r w:rsidRPr="00A84F18">
        <w:rPr>
          <w:rFonts w:ascii="Times New Roman" w:hAnsi="Times New Roman"/>
          <w:color w:val="000000"/>
          <w:sz w:val="24"/>
          <w:szCs w:val="24"/>
        </w:rPr>
        <w:t xml:space="preserve"> на ЕУ, но тоа сѐ уште не е целосно применето. Северна Македонија сè уште не го ратификувала Протоколот за елиминирање на недозволената трговија со производи од тутун. Во однос на </w:t>
      </w:r>
      <w:r w:rsidRPr="00A84F18">
        <w:rPr>
          <w:rFonts w:ascii="Times New Roman" w:hAnsi="Times New Roman"/>
          <w:b/>
          <w:bCs/>
          <w:color w:val="000000"/>
          <w:sz w:val="24"/>
          <w:szCs w:val="24"/>
        </w:rPr>
        <w:t>заразните болести</w:t>
      </w:r>
      <w:r w:rsidRPr="00A84F18">
        <w:rPr>
          <w:rFonts w:ascii="Times New Roman" w:hAnsi="Times New Roman"/>
          <w:i/>
          <w:iCs/>
          <w:color w:val="000000"/>
          <w:sz w:val="24"/>
          <w:szCs w:val="24"/>
        </w:rPr>
        <w:t xml:space="preserve">, </w:t>
      </w:r>
      <w:r w:rsidRPr="00A84F18">
        <w:rPr>
          <w:rFonts w:ascii="Times New Roman" w:hAnsi="Times New Roman"/>
          <w:color w:val="000000"/>
          <w:sz w:val="24"/>
          <w:szCs w:val="24"/>
        </w:rPr>
        <w:t xml:space="preserve">завршена е надградбата на системот за пријавување на синдромски болести во реално време. Во однос на </w:t>
      </w:r>
      <w:r>
        <w:rPr>
          <w:rFonts w:ascii="Times New Roman" w:hAnsi="Times New Roman"/>
          <w:b/>
          <w:bCs/>
          <w:smallCaps/>
          <w:color w:val="000000"/>
          <w:sz w:val="24"/>
          <w:szCs w:val="24"/>
        </w:rPr>
        <w:t>КОВИД</w:t>
      </w:r>
      <w:r w:rsidRPr="00A84F18">
        <w:rPr>
          <w:rFonts w:ascii="Times New Roman" w:hAnsi="Times New Roman"/>
          <w:b/>
          <w:bCs/>
          <w:color w:val="000000"/>
          <w:sz w:val="24"/>
          <w:szCs w:val="24"/>
        </w:rPr>
        <w:t>-19</w:t>
      </w:r>
      <w:r w:rsidRPr="00A84F18">
        <w:rPr>
          <w:rFonts w:ascii="Times New Roman" w:hAnsi="Times New Roman"/>
          <w:color w:val="000000"/>
          <w:sz w:val="24"/>
          <w:szCs w:val="24"/>
        </w:rPr>
        <w:t>, во сила остануваат неколку превентивни мерки.</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Забележан е напредок во областа на </w:t>
      </w:r>
      <w:r w:rsidRPr="00A84F18">
        <w:rPr>
          <w:rFonts w:ascii="Times New Roman" w:hAnsi="Times New Roman"/>
          <w:b/>
          <w:bCs/>
          <w:color w:val="000000"/>
          <w:sz w:val="24"/>
          <w:szCs w:val="24"/>
        </w:rPr>
        <w:t>крв, ткива, клетки и органи</w:t>
      </w:r>
      <w:r w:rsidRPr="00A84F18">
        <w:rPr>
          <w:rFonts w:ascii="Times New Roman" w:hAnsi="Times New Roman"/>
          <w:i/>
          <w:iCs/>
          <w:color w:val="000000"/>
          <w:sz w:val="24"/>
          <w:szCs w:val="24"/>
        </w:rPr>
        <w:t xml:space="preserve">. </w:t>
      </w:r>
      <w:r w:rsidRPr="00A84F18">
        <w:rPr>
          <w:rFonts w:ascii="Times New Roman" w:hAnsi="Times New Roman"/>
          <w:color w:val="000000"/>
          <w:sz w:val="24"/>
          <w:szCs w:val="24"/>
        </w:rPr>
        <w:t xml:space="preserve">Бројот на извршени трансплантации продолжи да се зголемува, вклучувајќи ја првата трансплантација на црн дроб. Сепак, земјата допрва треба да се усогласи со </w:t>
      </w:r>
      <w:r w:rsidRPr="00A84F18">
        <w:rPr>
          <w:rFonts w:ascii="Times New Roman" w:hAnsi="Times New Roman"/>
          <w:i/>
          <w:iCs/>
          <w:color w:val="000000"/>
          <w:sz w:val="24"/>
          <w:szCs w:val="24"/>
        </w:rPr>
        <w:t xml:space="preserve">правото </w:t>
      </w:r>
      <w:r w:rsidRPr="00A84F18">
        <w:rPr>
          <w:rFonts w:ascii="Times New Roman" w:hAnsi="Times New Roman"/>
          <w:color w:val="000000"/>
          <w:sz w:val="24"/>
          <w:szCs w:val="24"/>
        </w:rPr>
        <w:t xml:space="preserve">на ЕУ за </w:t>
      </w:r>
      <w:r w:rsidRPr="00A84F18">
        <w:rPr>
          <w:rFonts w:ascii="Times New Roman" w:hAnsi="Times New Roman"/>
          <w:b/>
          <w:bCs/>
          <w:color w:val="000000"/>
          <w:sz w:val="24"/>
          <w:szCs w:val="24"/>
        </w:rPr>
        <w:t>правата на пациентите во прекуграничната здравствена заштита</w:t>
      </w:r>
      <w:r w:rsidRPr="00A84F18">
        <w:rPr>
          <w:rFonts w:ascii="Times New Roman" w:hAnsi="Times New Roman"/>
          <w:color w:val="000000"/>
          <w:sz w:val="24"/>
          <w:szCs w:val="24"/>
        </w:rPr>
        <w:t>.</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Во однос на </w:t>
      </w:r>
      <w:r w:rsidRPr="00A84F18">
        <w:rPr>
          <w:rFonts w:ascii="Times New Roman" w:hAnsi="Times New Roman"/>
          <w:b/>
          <w:bCs/>
          <w:color w:val="000000"/>
          <w:sz w:val="24"/>
          <w:szCs w:val="24"/>
        </w:rPr>
        <w:t xml:space="preserve">лековите за употреба од страна на луѓето и за ветеринарна употреба, </w:t>
      </w:r>
      <w:r w:rsidRPr="00A84F18">
        <w:rPr>
          <w:rFonts w:ascii="Times New Roman" w:hAnsi="Times New Roman"/>
          <w:color w:val="000000"/>
          <w:sz w:val="24"/>
          <w:szCs w:val="24"/>
        </w:rPr>
        <w:t xml:space="preserve">донесено е законодавство, осмислено за усогласување со </w:t>
      </w:r>
      <w:r w:rsidRPr="00A84F18">
        <w:rPr>
          <w:rFonts w:ascii="Times New Roman" w:hAnsi="Times New Roman"/>
          <w:i/>
          <w:iCs/>
          <w:color w:val="000000"/>
          <w:sz w:val="24"/>
          <w:szCs w:val="24"/>
        </w:rPr>
        <w:t xml:space="preserve">правото </w:t>
      </w:r>
      <w:r w:rsidRPr="00A84F18">
        <w:rPr>
          <w:rFonts w:ascii="Times New Roman" w:hAnsi="Times New Roman"/>
          <w:color w:val="000000"/>
          <w:sz w:val="24"/>
          <w:szCs w:val="24"/>
        </w:rPr>
        <w:t xml:space="preserve">на ЕУ за остатоци од фармаколошки активни супстанции, остатоци од пестициди и максималните нивоа на поединечни загадувачи во и на храната од животинско потекло. Што се однесува до </w:t>
      </w:r>
      <w:r w:rsidRPr="00A84F18">
        <w:rPr>
          <w:rFonts w:ascii="Times New Roman" w:hAnsi="Times New Roman"/>
          <w:b/>
          <w:bCs/>
          <w:color w:val="000000"/>
          <w:sz w:val="24"/>
          <w:szCs w:val="24"/>
        </w:rPr>
        <w:t>скринингот за рак</w:t>
      </w:r>
      <w:r w:rsidRPr="00A84F18">
        <w:rPr>
          <w:rFonts w:ascii="Times New Roman" w:hAnsi="Times New Roman"/>
          <w:color w:val="000000"/>
          <w:sz w:val="24"/>
          <w:szCs w:val="24"/>
        </w:rPr>
        <w:t xml:space="preserve">, објавен е првиот извештај за Националниот регистар на малигни неоплазми. Недостига сеопфатен и проактивен пристап за скрининг за рак, а финансирањето за скрининг за рак е недоволно. По притисокот од јавноста, финансирањето за </w:t>
      </w:r>
      <w:r w:rsidRPr="00A84F18">
        <w:rPr>
          <w:rFonts w:ascii="Times New Roman" w:hAnsi="Times New Roman"/>
          <w:b/>
          <w:bCs/>
          <w:color w:val="000000"/>
          <w:sz w:val="24"/>
          <w:szCs w:val="24"/>
        </w:rPr>
        <w:t xml:space="preserve">ретки болести </w:t>
      </w:r>
      <w:r w:rsidRPr="00A84F18">
        <w:rPr>
          <w:rFonts w:ascii="Times New Roman" w:hAnsi="Times New Roman"/>
          <w:color w:val="000000"/>
          <w:sz w:val="24"/>
          <w:szCs w:val="24"/>
        </w:rPr>
        <w:t xml:space="preserve">се зголеми до одредена мера, но не доволно за да ги покрие трошоците за медицински третман на сите регистрирани пациенти. Спроведена беше онлајн анкета за </w:t>
      </w:r>
      <w:r w:rsidRPr="00A84F18">
        <w:rPr>
          <w:rFonts w:ascii="Times New Roman" w:hAnsi="Times New Roman"/>
          <w:b/>
          <w:bCs/>
          <w:color w:val="000000"/>
          <w:sz w:val="24"/>
          <w:szCs w:val="24"/>
        </w:rPr>
        <w:t>превенција на злоупотреба на дроги</w:t>
      </w:r>
      <w:r w:rsidRPr="00721A72">
        <w:rPr>
          <w:rFonts w:ascii="Times New Roman" w:hAnsi="Times New Roman"/>
          <w:color w:val="000000"/>
          <w:sz w:val="24"/>
          <w:szCs w:val="24"/>
        </w:rPr>
        <w:t>,</w:t>
      </w:r>
      <w:r w:rsidRPr="00A84F18">
        <w:rPr>
          <w:rFonts w:ascii="Times New Roman" w:hAnsi="Times New Roman"/>
          <w:b/>
          <w:bCs/>
          <w:color w:val="000000"/>
          <w:sz w:val="24"/>
          <w:szCs w:val="24"/>
        </w:rPr>
        <w:t xml:space="preserve"> </w:t>
      </w:r>
      <w:r w:rsidRPr="00A84F18">
        <w:rPr>
          <w:rFonts w:ascii="Times New Roman" w:hAnsi="Times New Roman"/>
          <w:color w:val="000000"/>
          <w:sz w:val="24"/>
          <w:szCs w:val="24"/>
        </w:rPr>
        <w:t xml:space="preserve">а имаше и кампањи за подигање на свеста за злоупотребата на дроги во училиштата, како и за </w:t>
      </w:r>
      <w:r w:rsidRPr="00A84F18">
        <w:rPr>
          <w:rFonts w:ascii="Times New Roman" w:hAnsi="Times New Roman"/>
          <w:b/>
          <w:bCs/>
          <w:color w:val="000000"/>
          <w:sz w:val="24"/>
          <w:szCs w:val="24"/>
        </w:rPr>
        <w:t>намалување на штетите поврзани со алкохол</w:t>
      </w:r>
      <w:r w:rsidRPr="00A84F18">
        <w:rPr>
          <w:rFonts w:ascii="Times New Roman" w:hAnsi="Times New Roman"/>
          <w:i/>
          <w:iCs/>
          <w:color w:val="000000"/>
          <w:sz w:val="24"/>
          <w:szCs w:val="24"/>
        </w:rPr>
        <w:t xml:space="preserve">. </w:t>
      </w:r>
      <w:r w:rsidRPr="00A84F18">
        <w:rPr>
          <w:rFonts w:ascii="Times New Roman" w:hAnsi="Times New Roman"/>
          <w:color w:val="000000"/>
          <w:sz w:val="24"/>
          <w:szCs w:val="24"/>
        </w:rPr>
        <w:t xml:space="preserve">Не е забележан напредок во областа на </w:t>
      </w:r>
      <w:r w:rsidRPr="00A84F18">
        <w:rPr>
          <w:rFonts w:ascii="Times New Roman" w:hAnsi="Times New Roman"/>
          <w:b/>
          <w:bCs/>
          <w:color w:val="000000"/>
          <w:sz w:val="24"/>
          <w:szCs w:val="24"/>
        </w:rPr>
        <w:t>здрави средини</w:t>
      </w:r>
      <w:r w:rsidRPr="00A84F18">
        <w:rPr>
          <w:rFonts w:ascii="Times New Roman" w:hAnsi="Times New Roman"/>
          <w:color w:val="000000"/>
          <w:sz w:val="24"/>
          <w:szCs w:val="24"/>
        </w:rPr>
        <w:t xml:space="preserve">. Направени се одредени заложби во врска со борбата против </w:t>
      </w:r>
      <w:r w:rsidRPr="00A84F18">
        <w:rPr>
          <w:rFonts w:ascii="Times New Roman" w:hAnsi="Times New Roman"/>
          <w:b/>
          <w:bCs/>
          <w:color w:val="000000"/>
          <w:sz w:val="24"/>
          <w:szCs w:val="24"/>
        </w:rPr>
        <w:t>здравствената нееднаквост</w:t>
      </w:r>
      <w:r w:rsidRPr="00721A72">
        <w:rPr>
          <w:rFonts w:ascii="Times New Roman" w:hAnsi="Times New Roman"/>
          <w:color w:val="000000"/>
          <w:sz w:val="24"/>
          <w:szCs w:val="24"/>
        </w:rPr>
        <w:t>,</w:t>
      </w:r>
      <w:r w:rsidRPr="00A84F18">
        <w:rPr>
          <w:rFonts w:ascii="Times New Roman" w:hAnsi="Times New Roman"/>
          <w:b/>
          <w:bCs/>
          <w:color w:val="000000"/>
          <w:sz w:val="24"/>
          <w:szCs w:val="24"/>
        </w:rPr>
        <w:t xml:space="preserve"> </w:t>
      </w:r>
      <w:r w:rsidRPr="00A84F18">
        <w:rPr>
          <w:rFonts w:ascii="Times New Roman" w:hAnsi="Times New Roman"/>
          <w:color w:val="000000"/>
          <w:sz w:val="24"/>
          <w:szCs w:val="24"/>
        </w:rPr>
        <w:t xml:space="preserve">особено за луѓе </w:t>
      </w:r>
      <w:r>
        <w:rPr>
          <w:rFonts w:ascii="Times New Roman" w:hAnsi="Times New Roman"/>
          <w:color w:val="000000"/>
          <w:sz w:val="24"/>
          <w:szCs w:val="24"/>
        </w:rPr>
        <w:t>што</w:t>
      </w:r>
      <w:r w:rsidRPr="00A84F18">
        <w:rPr>
          <w:rFonts w:ascii="Times New Roman" w:hAnsi="Times New Roman"/>
          <w:color w:val="000000"/>
          <w:sz w:val="24"/>
          <w:szCs w:val="24"/>
        </w:rPr>
        <w:t xml:space="preserve"> живеат во сиромаштија и за луѓе </w:t>
      </w:r>
      <w:r>
        <w:rPr>
          <w:rFonts w:ascii="Times New Roman" w:hAnsi="Times New Roman"/>
          <w:color w:val="000000"/>
          <w:sz w:val="24"/>
          <w:szCs w:val="24"/>
        </w:rPr>
        <w:t>што</w:t>
      </w:r>
      <w:r w:rsidRPr="00A84F18">
        <w:rPr>
          <w:rFonts w:ascii="Times New Roman" w:hAnsi="Times New Roman"/>
          <w:color w:val="000000"/>
          <w:sz w:val="24"/>
          <w:szCs w:val="24"/>
        </w:rPr>
        <w:t xml:space="preserve"> живеат во оддалечени области, иако тие беа предводени од меѓународни организации и од невладиниот сектор, а не од здравствените органи.</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Националната стратегија за спречување корупција утврди дека здравствениот сектор и инспекторатите се подложни на корупција, особено бидејќи нема ефективни критериуми за одредување на цените на здравствените услуги или на лековите. Постапките за лекување во странство не се транспарентни и објективни. Инспекторатите што се одговорни за надзор на пазарот и за безбедност на производите имаат нејасни надлежности што се преклопуваат и несоодветен кадар. Повеќето од активностите на антикорупциската стратегија во областа на здравството не се реализирани. Зајакнувањето на интегритетот, изјавите за имотна состојба и дигитализацијата се сметаат за клучни алатки за спречување на корупцијата.</w:t>
      </w:r>
    </w:p>
    <w:p w:rsidR="00B76D43" w:rsidRPr="00A84F18" w:rsidRDefault="00B76D43" w:rsidP="008D6AE4">
      <w:pPr>
        <w:pStyle w:val="Heading2"/>
      </w:pPr>
      <w:bookmarkStart w:id="69" w:name="bookmark44"/>
      <w:bookmarkStart w:id="70" w:name="_Toc150411750"/>
      <w:r w:rsidRPr="00A84F18">
        <w:t>К</w:t>
      </w:r>
      <w:bookmarkEnd w:id="69"/>
      <w:r w:rsidRPr="00A84F18">
        <w:t>ластер 3: Конкурентност и инклузивен раст</w:t>
      </w:r>
      <w:bookmarkEnd w:id="70"/>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Кластерот 3 за конкурентност и инклузивен раст опфаќа: дигитална трансформација и медиуми (Поглавје 10); оданочување (Поглавје 16); економска и монетарна политика (Поглавје 17); социјална политика и вработување (Поглавје 19); политика на претпријатија и индустриска политика (Поглавје 20); наука и истражување (Поглавје 25); образование и култура (Поглавје 26) и царинска унија (Поглавје 29).</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Севкупно, Северна Македонија е умерено подготвена во повеќето области опфатени со овој кластер. Подготвеноста на земјата е помеѓу умерено и добро ниво во областа на економската и </w:t>
      </w:r>
      <w:r>
        <w:rPr>
          <w:rFonts w:ascii="Times New Roman" w:hAnsi="Times New Roman"/>
          <w:color w:val="000000"/>
          <w:sz w:val="24"/>
          <w:szCs w:val="24"/>
        </w:rPr>
        <w:t xml:space="preserve">на </w:t>
      </w:r>
      <w:r w:rsidRPr="00A84F18">
        <w:rPr>
          <w:rFonts w:ascii="Times New Roman" w:hAnsi="Times New Roman"/>
          <w:color w:val="000000"/>
          <w:sz w:val="24"/>
          <w:szCs w:val="24"/>
        </w:rPr>
        <w:t xml:space="preserve">монетарната политика. Таа има добро ниво на подготвеност во областите на науката и </w:t>
      </w:r>
      <w:r>
        <w:rPr>
          <w:rFonts w:ascii="Times New Roman" w:hAnsi="Times New Roman"/>
          <w:color w:val="000000"/>
          <w:sz w:val="24"/>
          <w:szCs w:val="24"/>
        </w:rPr>
        <w:t xml:space="preserve">на </w:t>
      </w:r>
      <w:r w:rsidRPr="00A84F18">
        <w:rPr>
          <w:rFonts w:ascii="Times New Roman" w:hAnsi="Times New Roman"/>
          <w:color w:val="000000"/>
          <w:sz w:val="24"/>
          <w:szCs w:val="24"/>
        </w:rPr>
        <w:t xml:space="preserve">истражувањето и во царинската унија. Постигнат е одреден напредок и во областите оданочување, економска и монетарна политика, политика на претпријатија и индустриска политика, политика на наука и истражување, како и во социјална политика и вработување. Сепак, потребни се повеќе напори, особено во областите каде што е постигнат ограничен напредок, </w:t>
      </w:r>
      <w:r>
        <w:rPr>
          <w:rFonts w:ascii="Times New Roman" w:hAnsi="Times New Roman"/>
          <w:color w:val="000000"/>
          <w:sz w:val="24"/>
          <w:szCs w:val="24"/>
        </w:rPr>
        <w:t>какви</w:t>
      </w:r>
      <w:r w:rsidRPr="00A84F18">
        <w:rPr>
          <w:rFonts w:ascii="Times New Roman" w:hAnsi="Times New Roman"/>
          <w:color w:val="000000"/>
          <w:sz w:val="24"/>
          <w:szCs w:val="24"/>
        </w:rPr>
        <w:t xml:space="preserve"> што се дигиталната трансформација и медиумите, царинската унија, и образованието и културата.</w:t>
      </w:r>
    </w:p>
    <w:p w:rsidR="00B76D43" w:rsidRPr="00A84F18" w:rsidRDefault="00B76D43" w:rsidP="008D6AE4">
      <w:pPr>
        <w:pStyle w:val="Heading2"/>
      </w:pPr>
      <w:bookmarkStart w:id="71" w:name="bookmark45"/>
      <w:bookmarkStart w:id="72" w:name="_Toc150411751"/>
      <w:r w:rsidRPr="00A84F18">
        <w:t>П</w:t>
      </w:r>
      <w:bookmarkEnd w:id="71"/>
      <w:r w:rsidRPr="00A84F18">
        <w:t>оглавје 10: Дигитална трансформација и медиуми</w:t>
      </w:r>
      <w:bookmarkEnd w:id="72"/>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i/>
          <w:iCs/>
          <w:color w:val="000000"/>
          <w:sz w:val="24"/>
          <w:szCs w:val="24"/>
        </w:rPr>
        <w:t>ЕУ го поддржува непреченото функционирање на внатрешниот пазар за електронски комуникации, електронска трговија и аудиовизуелни услуги. Правилата ги штитат потрошувачите и поддржуваат универзална достапност на современи услуги.</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Земјата е </w:t>
      </w:r>
      <w:r w:rsidRPr="00A84F18">
        <w:rPr>
          <w:rFonts w:ascii="Times New Roman" w:hAnsi="Times New Roman"/>
          <w:b/>
          <w:bCs/>
          <w:color w:val="000000"/>
          <w:sz w:val="24"/>
          <w:szCs w:val="24"/>
        </w:rPr>
        <w:t xml:space="preserve">умерено подготвена </w:t>
      </w:r>
      <w:r w:rsidRPr="00A84F18">
        <w:rPr>
          <w:rFonts w:ascii="Times New Roman" w:hAnsi="Times New Roman"/>
          <w:color w:val="000000"/>
          <w:sz w:val="24"/>
          <w:szCs w:val="24"/>
        </w:rPr>
        <w:t>во областа на дигитална</w:t>
      </w:r>
      <w:r>
        <w:rPr>
          <w:rFonts w:ascii="Times New Roman" w:hAnsi="Times New Roman"/>
          <w:color w:val="000000"/>
          <w:sz w:val="24"/>
          <w:szCs w:val="24"/>
        </w:rPr>
        <w:t>та</w:t>
      </w:r>
      <w:r w:rsidRPr="00A84F18">
        <w:rPr>
          <w:rFonts w:ascii="Times New Roman" w:hAnsi="Times New Roman"/>
          <w:color w:val="000000"/>
          <w:sz w:val="24"/>
          <w:szCs w:val="24"/>
        </w:rPr>
        <w:t xml:space="preserve"> трансформација и медиуми</w:t>
      </w:r>
      <w:r>
        <w:rPr>
          <w:rFonts w:ascii="Times New Roman" w:hAnsi="Times New Roman"/>
          <w:color w:val="000000"/>
          <w:sz w:val="24"/>
          <w:szCs w:val="24"/>
        </w:rPr>
        <w:t>те</w:t>
      </w:r>
      <w:r w:rsidRPr="00A84F18">
        <w:rPr>
          <w:rFonts w:ascii="Times New Roman" w:hAnsi="Times New Roman"/>
          <w:color w:val="000000"/>
          <w:sz w:val="24"/>
          <w:szCs w:val="24"/>
        </w:rPr>
        <w:t xml:space="preserve">. </w:t>
      </w:r>
      <w:r w:rsidRPr="00721A72">
        <w:rPr>
          <w:rFonts w:ascii="Times New Roman" w:hAnsi="Times New Roman"/>
          <w:bCs/>
          <w:color w:val="000000"/>
          <w:sz w:val="24"/>
          <w:szCs w:val="24"/>
        </w:rPr>
        <w:t>Постигнат е</w:t>
      </w:r>
      <w:r w:rsidRPr="00A84F18">
        <w:rPr>
          <w:rFonts w:ascii="Times New Roman" w:hAnsi="Times New Roman"/>
          <w:b/>
          <w:bCs/>
          <w:color w:val="000000"/>
          <w:sz w:val="24"/>
          <w:szCs w:val="24"/>
        </w:rPr>
        <w:t xml:space="preserve"> ограничен напредок </w:t>
      </w:r>
      <w:r w:rsidRPr="00A84F18">
        <w:rPr>
          <w:rFonts w:ascii="Times New Roman" w:hAnsi="Times New Roman"/>
          <w:color w:val="000000"/>
          <w:sz w:val="24"/>
          <w:szCs w:val="24"/>
        </w:rPr>
        <w:t>во текот на извештајниот период, кој се должи на благиот пораст на бројот на електронски услуги што им се нудат на граѓаните и на бизнисите. Во јули 2023 година Законот за аудиовизуелни медиумски услуги беше изменет и дополнет со цел да се усогласи со Директивата за аудиовизуелни медиумски услуги на ЕУ од 2018 година. Во 2023 година Северна Македонија се приклучи кон Програмата „Дигитална Европа“. Услугите на европскиот број за итни случаи 112 беа развиени понатаму.</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Препораките од минатата година остануваат да важат. Во претстојната година, земјата треба:</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w:t>
      </w:r>
      <w:r w:rsidRPr="00A84F18">
        <w:rPr>
          <w:rFonts w:ascii="Times New Roman" w:hAnsi="Times New Roman"/>
          <w:color w:val="000000"/>
          <w:sz w:val="24"/>
          <w:szCs w:val="24"/>
        </w:rPr>
        <w:tab/>
        <w:t xml:space="preserve">да ја финализира и да ја донесе долгорочната стратегија за информатичко- комуникациска технологија (ИКТ); да ја финализира и да ја донесе </w:t>
      </w:r>
      <w:r w:rsidR="009642BF">
        <w:rPr>
          <w:rFonts w:ascii="Times New Roman" w:hAnsi="Times New Roman"/>
          <w:color w:val="000000"/>
          <w:sz w:val="24"/>
          <w:szCs w:val="24"/>
        </w:rPr>
        <w:t>Н</w:t>
      </w:r>
      <w:r w:rsidRPr="00A84F18">
        <w:rPr>
          <w:rFonts w:ascii="Times New Roman" w:hAnsi="Times New Roman"/>
          <w:color w:val="000000"/>
          <w:sz w:val="24"/>
          <w:szCs w:val="24"/>
        </w:rPr>
        <w:t>ационалната стратегија за сајбер</w:t>
      </w:r>
      <w:r w:rsidR="001450A9">
        <w:rPr>
          <w:rFonts w:ascii="Times New Roman" w:hAnsi="Times New Roman"/>
          <w:color w:val="000000"/>
          <w:sz w:val="24"/>
          <w:szCs w:val="24"/>
        </w:rPr>
        <w:t xml:space="preserve"> </w:t>
      </w:r>
      <w:r w:rsidRPr="00A84F18">
        <w:rPr>
          <w:rFonts w:ascii="Times New Roman" w:hAnsi="Times New Roman"/>
          <w:color w:val="000000"/>
          <w:sz w:val="24"/>
          <w:szCs w:val="24"/>
        </w:rPr>
        <w:t>безбедност за 2023 – 2027; да го усогласи националното законодавство со Кодексот за електронски комуникации на ЕУ, со Директивата на ЕУ за намалување на трошоците за широкопојасен интернет, со Директивата на ЕУ за безбедност на мрежи и информациски системи (Директива НИС 2) и пакетот на алатки за 5Г;</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w:t>
      </w:r>
      <w:r w:rsidRPr="00A84F18">
        <w:rPr>
          <w:rFonts w:ascii="Times New Roman" w:hAnsi="Times New Roman"/>
          <w:color w:val="000000"/>
          <w:sz w:val="24"/>
          <w:szCs w:val="24"/>
        </w:rPr>
        <w:tab/>
        <w:t>да ги зајакне независноста и капацитетот на медиумскиот регулатор, на јавниот радиодифузен сервис и на регулаторот за електронски комуникации;</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w:t>
      </w:r>
      <w:r w:rsidRPr="00A84F18">
        <w:rPr>
          <w:rFonts w:ascii="Times New Roman" w:hAnsi="Times New Roman"/>
          <w:color w:val="000000"/>
          <w:sz w:val="24"/>
          <w:szCs w:val="24"/>
        </w:rPr>
        <w:tab/>
        <w:t>да го подобри функционирањето на бројот за итни случаи 112 преку обезбедување соодветни човечки ресурси и подобра комуникација меѓу итните служби.</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Северна Македонија продолжи успешно да учествува во Дигиталната агенда за Западен Балкан и да ги користи придобивките од договорот за бесплатен регионален роаминг. Во согласност со националниот оперативен бродбенд-план за периодот од 2019 до 2023 година, сигналот</w:t>
      </w:r>
      <w:r>
        <w:rPr>
          <w:rFonts w:ascii="Times New Roman" w:hAnsi="Times New Roman"/>
          <w:color w:val="000000"/>
          <w:sz w:val="24"/>
          <w:szCs w:val="24"/>
        </w:rPr>
        <w:t xml:space="preserve"> </w:t>
      </w:r>
      <w:r w:rsidRPr="00A84F18">
        <w:rPr>
          <w:rFonts w:ascii="Times New Roman" w:hAnsi="Times New Roman"/>
          <w:color w:val="000000"/>
          <w:sz w:val="24"/>
          <w:szCs w:val="24"/>
        </w:rPr>
        <w:t xml:space="preserve">5Г беше проширен во Скопје. Органите продолжија да спроведуваат активности што се дел од </w:t>
      </w:r>
      <w:r w:rsidR="009642BF">
        <w:rPr>
          <w:rFonts w:ascii="Times New Roman" w:hAnsi="Times New Roman"/>
          <w:color w:val="000000"/>
          <w:sz w:val="24"/>
          <w:szCs w:val="24"/>
        </w:rPr>
        <w:t>Н</w:t>
      </w:r>
      <w:r w:rsidRPr="00A84F18">
        <w:rPr>
          <w:rFonts w:ascii="Times New Roman" w:hAnsi="Times New Roman"/>
          <w:color w:val="000000"/>
          <w:sz w:val="24"/>
          <w:szCs w:val="24"/>
        </w:rPr>
        <w:t>ационалната стратегија за сајбер</w:t>
      </w:r>
      <w:r w:rsidR="0015672B">
        <w:rPr>
          <w:rFonts w:ascii="Times New Roman" w:hAnsi="Times New Roman"/>
          <w:color w:val="000000"/>
          <w:sz w:val="24"/>
          <w:szCs w:val="24"/>
        </w:rPr>
        <w:t xml:space="preserve"> </w:t>
      </w:r>
      <w:r w:rsidRPr="00A84F18">
        <w:rPr>
          <w:rFonts w:ascii="Times New Roman" w:hAnsi="Times New Roman"/>
          <w:color w:val="000000"/>
          <w:sz w:val="24"/>
          <w:szCs w:val="24"/>
        </w:rPr>
        <w:t xml:space="preserve">безбедност за 2018 – 2022 година. Сепак, има потреба од подобра координација и меѓуинституционална соработка. Северна Македонија треба да ја донесе </w:t>
      </w:r>
      <w:r w:rsidR="009642BF">
        <w:rPr>
          <w:rFonts w:ascii="Times New Roman" w:hAnsi="Times New Roman"/>
          <w:color w:val="000000"/>
          <w:sz w:val="24"/>
          <w:szCs w:val="24"/>
        </w:rPr>
        <w:t>Н</w:t>
      </w:r>
      <w:r w:rsidRPr="00A84F18">
        <w:rPr>
          <w:rFonts w:ascii="Times New Roman" w:hAnsi="Times New Roman"/>
          <w:color w:val="000000"/>
          <w:sz w:val="24"/>
          <w:szCs w:val="24"/>
        </w:rPr>
        <w:t>ационалната стратегија за сајбер</w:t>
      </w:r>
      <w:r w:rsidR="001450A9">
        <w:rPr>
          <w:rFonts w:ascii="Times New Roman" w:hAnsi="Times New Roman"/>
          <w:color w:val="000000"/>
          <w:sz w:val="24"/>
          <w:szCs w:val="24"/>
        </w:rPr>
        <w:t xml:space="preserve"> </w:t>
      </w:r>
      <w:r w:rsidRPr="00A84F18">
        <w:rPr>
          <w:rFonts w:ascii="Times New Roman" w:hAnsi="Times New Roman"/>
          <w:color w:val="000000"/>
          <w:sz w:val="24"/>
          <w:szCs w:val="24"/>
        </w:rPr>
        <w:t xml:space="preserve">безбедност за периодот од 2023 до 2027 година. Службите на европскиот број за итни случаи, 112, го зголемија својот капацитет, но комуникацијата меѓу службите за итна помош и човечките ресурси треба да се </w:t>
      </w:r>
      <w:r>
        <w:rPr>
          <w:rFonts w:ascii="Times New Roman" w:hAnsi="Times New Roman"/>
          <w:color w:val="000000"/>
          <w:sz w:val="24"/>
          <w:szCs w:val="24"/>
        </w:rPr>
        <w:t>подобри</w:t>
      </w:r>
      <w:r w:rsidRPr="00A84F18">
        <w:rPr>
          <w:rFonts w:ascii="Times New Roman" w:hAnsi="Times New Roman"/>
          <w:color w:val="000000"/>
          <w:sz w:val="24"/>
          <w:szCs w:val="24"/>
        </w:rPr>
        <w:t>.</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Во однос на </w:t>
      </w:r>
      <w:r w:rsidRPr="00A84F18">
        <w:rPr>
          <w:rFonts w:ascii="Times New Roman" w:hAnsi="Times New Roman"/>
          <w:b/>
          <w:bCs/>
          <w:color w:val="000000"/>
          <w:sz w:val="24"/>
          <w:szCs w:val="24"/>
        </w:rPr>
        <w:t>електронските комуникации и информатичката технологија</w:t>
      </w:r>
      <w:r w:rsidRPr="00A84F18">
        <w:rPr>
          <w:rFonts w:ascii="Times New Roman" w:hAnsi="Times New Roman"/>
          <w:color w:val="000000"/>
          <w:sz w:val="24"/>
          <w:szCs w:val="24"/>
        </w:rPr>
        <w:t>, во 2022 година 75,57 % од сите домаќинства имаа пристап до фиксен широкопојасен интернет, додека широкопојасната покриеност на национално ниво со 30-100 Mbps беше 82,84 % и со &gt; 100 Mbps беше 63,1 %. Опфатот на мобилниот широкопојасен интернет се зголеми на 86,12 %. Само 2,53 % од сите домаќинства имаа пристап до ултрабрз широкопојасен интернет. Агенцијата за електронски комуникации не собира одделни податоци за пристап до интернет по училишта, болници, претпријатија и слично</w:t>
      </w:r>
      <w:r>
        <w:rPr>
          <w:rFonts w:ascii="Times New Roman" w:hAnsi="Times New Roman"/>
          <w:color w:val="000000"/>
          <w:sz w:val="24"/>
          <w:szCs w:val="24"/>
        </w:rPr>
        <w:t>.</w:t>
      </w:r>
      <w:r w:rsidRPr="00A84F18">
        <w:rPr>
          <w:rFonts w:ascii="Times New Roman" w:hAnsi="Times New Roman"/>
          <w:color w:val="000000"/>
          <w:sz w:val="24"/>
          <w:szCs w:val="24"/>
        </w:rPr>
        <w:t xml:space="preserve"> Оваа агенција даде одобренија за употребата на радиофреквенции за 5Г. Телекомуникациските оператори продолжија да инвестираат низ целата земја. Нема напредок во усогласувањето на правната рамка за електронски комуникации со </w:t>
      </w:r>
      <w:r w:rsidRPr="00A84F18">
        <w:rPr>
          <w:rFonts w:ascii="Times New Roman" w:hAnsi="Times New Roman"/>
          <w:i/>
          <w:iCs/>
          <w:color w:val="000000"/>
          <w:sz w:val="24"/>
          <w:szCs w:val="24"/>
        </w:rPr>
        <w:t>правото</w:t>
      </w:r>
      <w:r w:rsidRPr="00A84F18">
        <w:rPr>
          <w:rFonts w:ascii="Times New Roman" w:hAnsi="Times New Roman"/>
          <w:color w:val="000000"/>
          <w:sz w:val="24"/>
          <w:szCs w:val="24"/>
        </w:rPr>
        <w:t xml:space="preserve"> на ЕУ. </w:t>
      </w:r>
      <w:r w:rsidR="0015672B" w:rsidRPr="00A84F18">
        <w:rPr>
          <w:rFonts w:ascii="Times New Roman" w:hAnsi="Times New Roman"/>
          <w:color w:val="000000"/>
          <w:sz w:val="24"/>
          <w:szCs w:val="24"/>
        </w:rPr>
        <w:t>Националната</w:t>
      </w:r>
      <w:r w:rsidRPr="00A84F18">
        <w:rPr>
          <w:rFonts w:ascii="Times New Roman" w:hAnsi="Times New Roman"/>
          <w:color w:val="000000"/>
          <w:sz w:val="24"/>
          <w:szCs w:val="24"/>
        </w:rPr>
        <w:t xml:space="preserve"> компетентна канцеларија за бродбенд објавува полугодишни извештаи за развојот на бродбенд во земјата и за спроведувањето на Националниот</w:t>
      </w:r>
      <w:r w:rsidRPr="00A84F18">
        <w:rPr>
          <w:rFonts w:ascii="Times New Roman" w:hAnsi="Times New Roman"/>
          <w:sz w:val="24"/>
          <w:szCs w:val="24"/>
        </w:rPr>
        <w:t xml:space="preserve"> </w:t>
      </w:r>
      <w:r w:rsidRPr="00A84F18">
        <w:rPr>
          <w:rFonts w:ascii="Times New Roman" w:hAnsi="Times New Roman"/>
          <w:color w:val="000000"/>
          <w:sz w:val="24"/>
          <w:szCs w:val="24"/>
        </w:rPr>
        <w:t>оперативен бродбенд</w:t>
      </w:r>
      <w:r>
        <w:rPr>
          <w:rFonts w:ascii="Times New Roman" w:hAnsi="Times New Roman"/>
          <w:color w:val="000000"/>
          <w:sz w:val="24"/>
          <w:szCs w:val="24"/>
        </w:rPr>
        <w:t>-</w:t>
      </w:r>
      <w:r w:rsidRPr="00A84F18">
        <w:rPr>
          <w:rFonts w:ascii="Times New Roman" w:hAnsi="Times New Roman"/>
          <w:color w:val="000000"/>
          <w:sz w:val="24"/>
          <w:szCs w:val="24"/>
        </w:rPr>
        <w:t>план. Органите треба да го усогласат националното законодавство со Директивата за намалување на трошоците за широкопојасен интернет на ЕУ.</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Усогласувањето на националното законодавство со Регулативата за електронска идентификација и доверливи услуги за електронски трансакции на внатрешниот пазар (Регулатива eIDAS) на ЕУ</w:t>
      </w:r>
      <w:r>
        <w:rPr>
          <w:rFonts w:ascii="Times New Roman" w:hAnsi="Times New Roman"/>
          <w:color w:val="000000"/>
          <w:sz w:val="24"/>
          <w:szCs w:val="24"/>
        </w:rPr>
        <w:t>,</w:t>
      </w:r>
      <w:r w:rsidRPr="00A84F18">
        <w:rPr>
          <w:rFonts w:ascii="Times New Roman" w:hAnsi="Times New Roman"/>
          <w:color w:val="000000"/>
          <w:sz w:val="24"/>
          <w:szCs w:val="24"/>
        </w:rPr>
        <w:t xml:space="preserve"> беше дополнително одложено. Усогласувањето со актите за дигитални услуги и </w:t>
      </w:r>
      <w:r>
        <w:rPr>
          <w:rFonts w:ascii="Times New Roman" w:hAnsi="Times New Roman"/>
          <w:color w:val="000000"/>
          <w:sz w:val="24"/>
          <w:szCs w:val="24"/>
        </w:rPr>
        <w:t xml:space="preserve">со </w:t>
      </w:r>
      <w:r w:rsidRPr="00A84F18">
        <w:rPr>
          <w:rFonts w:ascii="Times New Roman" w:hAnsi="Times New Roman"/>
          <w:color w:val="000000"/>
          <w:sz w:val="24"/>
          <w:szCs w:val="24"/>
        </w:rPr>
        <w:t>актот за дигитални пазари</w:t>
      </w:r>
      <w:r>
        <w:rPr>
          <w:rFonts w:ascii="Times New Roman" w:hAnsi="Times New Roman"/>
          <w:color w:val="000000"/>
          <w:sz w:val="24"/>
          <w:szCs w:val="24"/>
        </w:rPr>
        <w:t>,</w:t>
      </w:r>
      <w:r w:rsidRPr="00A84F18">
        <w:rPr>
          <w:rFonts w:ascii="Times New Roman" w:hAnsi="Times New Roman"/>
          <w:color w:val="000000"/>
          <w:sz w:val="24"/>
          <w:szCs w:val="24"/>
        </w:rPr>
        <w:t xml:space="preserve"> треба да се засили за да се обезбеди предвидливост за деловната заедница. На 18 јули 2023 година се донесоа измени и дополнувања на Законот за аудио и аудиовизуелни медиумски услуги</w:t>
      </w:r>
      <w:r>
        <w:rPr>
          <w:rFonts w:ascii="Times New Roman" w:hAnsi="Times New Roman"/>
          <w:color w:val="000000"/>
          <w:sz w:val="24"/>
          <w:szCs w:val="24"/>
        </w:rPr>
        <w:t>,</w:t>
      </w:r>
      <w:r w:rsidRPr="00A84F18">
        <w:rPr>
          <w:rFonts w:ascii="Times New Roman" w:hAnsi="Times New Roman"/>
          <w:color w:val="000000"/>
          <w:sz w:val="24"/>
          <w:szCs w:val="24"/>
        </w:rPr>
        <w:t xml:space="preserve"> со што се постигна усогласување на законодавството со Директивата за аудиовизуелни медиумски услуги.</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Во однос на </w:t>
      </w:r>
      <w:r w:rsidRPr="00A84F18">
        <w:rPr>
          <w:rFonts w:ascii="Times New Roman" w:hAnsi="Times New Roman"/>
          <w:b/>
          <w:bCs/>
          <w:color w:val="000000"/>
          <w:sz w:val="24"/>
          <w:szCs w:val="24"/>
        </w:rPr>
        <w:t>заштитни мерки за конкуренцијата</w:t>
      </w:r>
      <w:r w:rsidRPr="00A84F18">
        <w:rPr>
          <w:rFonts w:ascii="Times New Roman" w:hAnsi="Times New Roman"/>
          <w:color w:val="000000"/>
          <w:sz w:val="24"/>
          <w:szCs w:val="24"/>
        </w:rPr>
        <w:t>, на телекомуникацискиот пазар преовладуваат двата најголеми мобилни оператори.</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Во однос на </w:t>
      </w:r>
      <w:r w:rsidRPr="00A84F18">
        <w:rPr>
          <w:rFonts w:ascii="Times New Roman" w:hAnsi="Times New Roman"/>
          <w:b/>
          <w:bCs/>
          <w:color w:val="000000"/>
          <w:sz w:val="24"/>
          <w:szCs w:val="24"/>
        </w:rPr>
        <w:t>дигиталната трансформација</w:t>
      </w:r>
      <w:r w:rsidRPr="00A84F18">
        <w:rPr>
          <w:rFonts w:ascii="Times New Roman" w:hAnsi="Times New Roman"/>
          <w:color w:val="000000"/>
          <w:sz w:val="24"/>
          <w:szCs w:val="24"/>
        </w:rPr>
        <w:t xml:space="preserve">, долгорочната стратегија за информатичко-комуникациска технологија за периодот од 2021 до 2026 година сè уште не е донесена. Активностите за развој на дигиталните вештини што се дел од стратегијата треба да се </w:t>
      </w:r>
      <w:r>
        <w:rPr>
          <w:rFonts w:ascii="Times New Roman" w:hAnsi="Times New Roman"/>
          <w:color w:val="000000"/>
          <w:sz w:val="24"/>
          <w:szCs w:val="24"/>
        </w:rPr>
        <w:t>надградат и да се поддржат со</w:t>
      </w:r>
      <w:r w:rsidRPr="00A84F18">
        <w:rPr>
          <w:rFonts w:ascii="Times New Roman" w:hAnsi="Times New Roman"/>
          <w:color w:val="000000"/>
          <w:sz w:val="24"/>
          <w:szCs w:val="24"/>
        </w:rPr>
        <w:t xml:space="preserve"> конкретни мерки. Земјата потпиша договор за асоцијација кон Програмата „Дигитална Европа“ на 30 јуни 2023 година.</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Националниот регулатор промовираше сајбер</w:t>
      </w:r>
      <w:r w:rsidR="001450A9">
        <w:rPr>
          <w:rFonts w:ascii="Times New Roman" w:hAnsi="Times New Roman"/>
          <w:color w:val="000000"/>
          <w:sz w:val="24"/>
          <w:szCs w:val="24"/>
        </w:rPr>
        <w:t xml:space="preserve"> </w:t>
      </w:r>
      <w:r w:rsidRPr="00A84F18">
        <w:rPr>
          <w:rFonts w:ascii="Times New Roman" w:hAnsi="Times New Roman"/>
          <w:color w:val="000000"/>
          <w:sz w:val="24"/>
          <w:szCs w:val="24"/>
        </w:rPr>
        <w:t>безбедност преку својот Национален центар за одговор на компјутерски инциденти. Инциденти поврзани со сајбер</w:t>
      </w:r>
      <w:r w:rsidR="001450A9">
        <w:rPr>
          <w:rFonts w:ascii="Times New Roman" w:hAnsi="Times New Roman"/>
          <w:color w:val="000000"/>
          <w:sz w:val="24"/>
          <w:szCs w:val="24"/>
        </w:rPr>
        <w:t xml:space="preserve"> </w:t>
      </w:r>
      <w:r w:rsidRPr="00A84F18">
        <w:rPr>
          <w:rFonts w:ascii="Times New Roman" w:hAnsi="Times New Roman"/>
          <w:color w:val="000000"/>
          <w:sz w:val="24"/>
          <w:szCs w:val="24"/>
        </w:rPr>
        <w:t xml:space="preserve">безбедноста беа пријавени во 145 субјекти, </w:t>
      </w:r>
      <w:r>
        <w:rPr>
          <w:rFonts w:ascii="Times New Roman" w:hAnsi="Times New Roman"/>
          <w:color w:val="000000"/>
          <w:sz w:val="24"/>
          <w:szCs w:val="24"/>
        </w:rPr>
        <w:t>какви</w:t>
      </w:r>
      <w:r w:rsidRPr="00A84F18">
        <w:rPr>
          <w:rFonts w:ascii="Times New Roman" w:hAnsi="Times New Roman"/>
          <w:color w:val="000000"/>
          <w:sz w:val="24"/>
          <w:szCs w:val="24"/>
        </w:rPr>
        <w:t xml:space="preserve"> што се државни институции, банкарство, здравство, енергетика, транспорт и комуникациски организации. Потребни се подобра координација и меѓуинституционална соработка за подобрување на сајбер</w:t>
      </w:r>
      <w:r w:rsidR="00652875">
        <w:rPr>
          <w:rFonts w:ascii="Times New Roman" w:hAnsi="Times New Roman"/>
          <w:color w:val="000000"/>
          <w:sz w:val="24"/>
          <w:szCs w:val="24"/>
        </w:rPr>
        <w:t xml:space="preserve"> </w:t>
      </w:r>
      <w:r w:rsidRPr="00A84F18">
        <w:rPr>
          <w:rFonts w:ascii="Times New Roman" w:hAnsi="Times New Roman"/>
          <w:color w:val="000000"/>
          <w:sz w:val="24"/>
          <w:szCs w:val="24"/>
        </w:rPr>
        <w:t>безбедноста и за зајакнување на капацитетите на Националниот совет за сајбер</w:t>
      </w:r>
      <w:r w:rsidR="001450A9">
        <w:rPr>
          <w:rFonts w:ascii="Times New Roman" w:hAnsi="Times New Roman"/>
          <w:color w:val="000000"/>
          <w:sz w:val="24"/>
          <w:szCs w:val="24"/>
        </w:rPr>
        <w:t xml:space="preserve"> </w:t>
      </w:r>
      <w:r w:rsidRPr="00A84F18">
        <w:rPr>
          <w:rFonts w:ascii="Times New Roman" w:hAnsi="Times New Roman"/>
          <w:color w:val="000000"/>
          <w:sz w:val="24"/>
          <w:szCs w:val="24"/>
        </w:rPr>
        <w:t>безбедност. Државните институции треба и понатаму да ги зајакнуваат своите сајбер</w:t>
      </w:r>
      <w:r w:rsidR="001450A9">
        <w:rPr>
          <w:rFonts w:ascii="Times New Roman" w:hAnsi="Times New Roman"/>
          <w:color w:val="000000"/>
          <w:sz w:val="24"/>
          <w:szCs w:val="24"/>
        </w:rPr>
        <w:t xml:space="preserve"> </w:t>
      </w:r>
      <w:r w:rsidRPr="00A84F18">
        <w:rPr>
          <w:rFonts w:ascii="Times New Roman" w:hAnsi="Times New Roman"/>
          <w:color w:val="000000"/>
          <w:sz w:val="24"/>
          <w:szCs w:val="24"/>
        </w:rPr>
        <w:t>капацитети и инфраструктура.</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Треба да се донесе новиот Закон за безбедност на мрежи и информациски системи за да се усогласи со Директивите НИС и НИС 2. Министерството за информатичко општество и администрација треба да ги зајакне своите капацитети за да ги предводи дигиталната трансформација и реформите во медиумите. Треба да се обезбеди целосна независност на регулаторот за електронски комуникации.</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Националниот портал за електронски услуги е надграден. Бројот на институции што се поврзани на платформата за интероперабилност е зголемен, но повеќето државни институции не ја користат платформата поради недостигот од комуникациски софтвер. Сè уште се потребни повеќе напори и подобра соработка меѓу институциите за модернизација и дигитализација на јавниот сектор. Квалитетот на податоци во регистарот на население треба да се подобри и постојано да се проверува со други регистри. Бројот на дигитални услуги што се нудат преку владиниот е-портал останува скромен, само 392, и тука главно спаѓаат услуги што ретко се бараат и </w:t>
      </w:r>
      <w:r>
        <w:rPr>
          <w:rFonts w:ascii="Times New Roman" w:hAnsi="Times New Roman"/>
          <w:color w:val="000000"/>
          <w:sz w:val="24"/>
          <w:szCs w:val="24"/>
        </w:rPr>
        <w:t xml:space="preserve">се </w:t>
      </w:r>
      <w:r w:rsidRPr="00A84F18">
        <w:rPr>
          <w:rFonts w:ascii="Times New Roman" w:hAnsi="Times New Roman"/>
          <w:color w:val="000000"/>
          <w:sz w:val="24"/>
          <w:szCs w:val="24"/>
        </w:rPr>
        <w:t xml:space="preserve">користат. Државните институции треба да обезбедат подобра соработка во унапредувањето на дигитализацијата на </w:t>
      </w:r>
      <w:r>
        <w:rPr>
          <w:rFonts w:ascii="Times New Roman" w:hAnsi="Times New Roman"/>
          <w:color w:val="000000"/>
          <w:sz w:val="24"/>
          <w:szCs w:val="24"/>
        </w:rPr>
        <w:t>В</w:t>
      </w:r>
      <w:r w:rsidRPr="00A84F18">
        <w:rPr>
          <w:rFonts w:ascii="Times New Roman" w:hAnsi="Times New Roman"/>
          <w:color w:val="000000"/>
          <w:sz w:val="24"/>
          <w:szCs w:val="24"/>
        </w:rPr>
        <w:t xml:space="preserve">ладата. </w:t>
      </w:r>
      <w:r>
        <w:rPr>
          <w:rFonts w:ascii="Times New Roman" w:hAnsi="Times New Roman"/>
          <w:color w:val="000000"/>
          <w:sz w:val="24"/>
          <w:szCs w:val="24"/>
        </w:rPr>
        <w:t>Н</w:t>
      </w:r>
      <w:r w:rsidRPr="00A84F18">
        <w:rPr>
          <w:rFonts w:ascii="Times New Roman" w:hAnsi="Times New Roman"/>
          <w:color w:val="000000"/>
          <w:sz w:val="24"/>
          <w:szCs w:val="24"/>
        </w:rPr>
        <w:t xml:space="preserve">а националниот е-портал беа регистрирани </w:t>
      </w:r>
      <w:bookmarkStart w:id="73" w:name="_Hlk150859878"/>
      <w:r w:rsidRPr="00A84F18">
        <w:rPr>
          <w:rFonts w:ascii="Times New Roman" w:hAnsi="Times New Roman"/>
          <w:color w:val="000000"/>
          <w:sz w:val="24"/>
          <w:szCs w:val="24"/>
        </w:rPr>
        <w:t>96</w:t>
      </w:r>
      <w:r>
        <w:rPr>
          <w:rFonts w:ascii="Times New Roman" w:hAnsi="Times New Roman"/>
          <w:color w:val="000000"/>
          <w:sz w:val="24"/>
          <w:szCs w:val="24"/>
        </w:rPr>
        <w:t>.</w:t>
      </w:r>
      <w:r w:rsidRPr="00A84F18">
        <w:rPr>
          <w:rFonts w:ascii="Times New Roman" w:hAnsi="Times New Roman"/>
          <w:color w:val="000000"/>
          <w:sz w:val="24"/>
          <w:szCs w:val="24"/>
        </w:rPr>
        <w:t xml:space="preserve">940 </w:t>
      </w:r>
      <w:bookmarkEnd w:id="73"/>
      <w:r w:rsidRPr="00A84F18">
        <w:rPr>
          <w:rFonts w:ascii="Times New Roman" w:hAnsi="Times New Roman"/>
          <w:color w:val="000000"/>
          <w:sz w:val="24"/>
          <w:szCs w:val="24"/>
        </w:rPr>
        <w:t>корисници.</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Што се однесува до </w:t>
      </w:r>
      <w:r w:rsidRPr="00A84F18">
        <w:rPr>
          <w:rFonts w:ascii="Times New Roman" w:hAnsi="Times New Roman"/>
          <w:b/>
          <w:bCs/>
          <w:color w:val="000000"/>
          <w:sz w:val="24"/>
          <w:szCs w:val="24"/>
        </w:rPr>
        <w:t>е-трговијата</w:t>
      </w:r>
      <w:r w:rsidRPr="00721A72">
        <w:rPr>
          <w:rFonts w:ascii="Times New Roman" w:hAnsi="Times New Roman"/>
          <w:color w:val="000000"/>
          <w:sz w:val="24"/>
          <w:szCs w:val="24"/>
        </w:rPr>
        <w:t>,</w:t>
      </w:r>
      <w:r w:rsidRPr="00A84F18">
        <w:rPr>
          <w:rFonts w:ascii="Times New Roman" w:hAnsi="Times New Roman"/>
          <w:b/>
          <w:bCs/>
          <w:color w:val="000000"/>
          <w:sz w:val="24"/>
          <w:szCs w:val="24"/>
        </w:rPr>
        <w:t xml:space="preserve"> </w:t>
      </w:r>
      <w:r w:rsidRPr="00A84F18">
        <w:rPr>
          <w:rFonts w:ascii="Times New Roman" w:hAnsi="Times New Roman"/>
          <w:color w:val="000000"/>
          <w:sz w:val="24"/>
          <w:szCs w:val="24"/>
        </w:rPr>
        <w:t>онлајн продажбата е зголемена. Во однос на статистичката обработка и дигиталната конкурентност, треба да се подобри прибирањето податоци врз основа на индикаторите на Индексот на дигитална економија и општество (DESI).</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Во однос на </w:t>
      </w:r>
      <w:r w:rsidRPr="00A84F18">
        <w:rPr>
          <w:rFonts w:ascii="Times New Roman" w:hAnsi="Times New Roman"/>
          <w:b/>
          <w:bCs/>
          <w:color w:val="000000"/>
          <w:sz w:val="24"/>
          <w:szCs w:val="24"/>
        </w:rPr>
        <w:t>аудиовизуелната политика</w:t>
      </w:r>
      <w:r w:rsidRPr="00A84F18">
        <w:rPr>
          <w:rFonts w:ascii="Times New Roman" w:hAnsi="Times New Roman"/>
          <w:color w:val="000000"/>
          <w:sz w:val="24"/>
          <w:szCs w:val="24"/>
        </w:rPr>
        <w:t xml:space="preserve">, Собранието не назначи нови членови на советите на медиумскиот регулатор и на јавниот радиодифузен сервис, иако тоа беше предуслов за забрзување на реформите во медиумите. Јавниот радиодифузен сервис доби дополнителни средства </w:t>
      </w:r>
      <w:r>
        <w:rPr>
          <w:rFonts w:ascii="Times New Roman" w:hAnsi="Times New Roman"/>
          <w:color w:val="000000"/>
          <w:sz w:val="24"/>
          <w:szCs w:val="24"/>
        </w:rPr>
        <w:t>така</w:t>
      </w:r>
      <w:r w:rsidRPr="00A84F18">
        <w:rPr>
          <w:rFonts w:ascii="Times New Roman" w:hAnsi="Times New Roman"/>
          <w:color w:val="000000"/>
          <w:sz w:val="24"/>
          <w:szCs w:val="24"/>
        </w:rPr>
        <w:t xml:space="preserve"> што незначително се зголеми неговиот процент. </w:t>
      </w:r>
      <w:r w:rsidRPr="00A84F18">
        <w:rPr>
          <w:rFonts w:ascii="Times New Roman" w:hAnsi="Times New Roman"/>
          <w:i/>
          <w:iCs/>
          <w:color w:val="000000"/>
          <w:sz w:val="24"/>
          <w:szCs w:val="24"/>
        </w:rPr>
        <w:t xml:space="preserve">(Види, исто така, во делот: </w:t>
      </w:r>
      <w:r>
        <w:rPr>
          <w:rFonts w:ascii="Times New Roman" w:hAnsi="Times New Roman"/>
          <w:i/>
          <w:iCs/>
          <w:color w:val="000000"/>
          <w:sz w:val="24"/>
          <w:szCs w:val="24"/>
        </w:rPr>
        <w:t>С</w:t>
      </w:r>
      <w:r w:rsidRPr="00A84F18">
        <w:rPr>
          <w:rFonts w:ascii="Times New Roman" w:hAnsi="Times New Roman"/>
          <w:i/>
          <w:iCs/>
          <w:color w:val="000000"/>
          <w:sz w:val="24"/>
          <w:szCs w:val="24"/>
        </w:rPr>
        <w:t xml:space="preserve">лобода на изразување). </w:t>
      </w:r>
      <w:r w:rsidRPr="00A84F18">
        <w:rPr>
          <w:rFonts w:ascii="Times New Roman" w:hAnsi="Times New Roman"/>
          <w:color w:val="000000"/>
          <w:sz w:val="24"/>
          <w:szCs w:val="24"/>
        </w:rPr>
        <w:t>Во јули 2023 година Законот за аудио и аудиовизуелни медиумски услуги беше изменет и дополнет за да биде усогласен со Директивата за аудиовизуелни медиумски услуги на ЕУ од 2018 година.</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Во текот на извештајниот период, Агенцијата за аудио и аудиовизуелни медиумски услуги продолжи да ги исполнува своите законски обврски за подобрување на медиумската писменост, за анализа на родовата еднаквост во медиумите и за надзор над радиодифузерите. Медиумскиот регулатор јавно ги осуди притисокот и заканите кон новинарите и </w:t>
      </w:r>
      <w:r>
        <w:rPr>
          <w:rFonts w:ascii="Times New Roman" w:hAnsi="Times New Roman"/>
          <w:color w:val="000000"/>
          <w:sz w:val="24"/>
          <w:szCs w:val="24"/>
        </w:rPr>
        <w:t xml:space="preserve">кон </w:t>
      </w:r>
      <w:r w:rsidRPr="00A84F18">
        <w:rPr>
          <w:rFonts w:ascii="Times New Roman" w:hAnsi="Times New Roman"/>
          <w:color w:val="000000"/>
          <w:sz w:val="24"/>
          <w:szCs w:val="24"/>
        </w:rPr>
        <w:t>медиумите. Националната стратегија</w:t>
      </w:r>
      <w:r w:rsidRPr="00A84F18">
        <w:rPr>
          <w:rFonts w:ascii="Times New Roman" w:hAnsi="Times New Roman"/>
          <w:sz w:val="24"/>
          <w:szCs w:val="24"/>
        </w:rPr>
        <w:t xml:space="preserve"> </w:t>
      </w:r>
      <w:r w:rsidRPr="00A84F18">
        <w:rPr>
          <w:rFonts w:ascii="Times New Roman" w:hAnsi="Times New Roman"/>
          <w:color w:val="000000"/>
          <w:sz w:val="24"/>
          <w:szCs w:val="24"/>
        </w:rPr>
        <w:t>и акцискиот план за градење отпорност и справување со хибридни закани (2021</w:t>
      </w:r>
      <w:r>
        <w:rPr>
          <w:rFonts w:ascii="Times New Roman" w:hAnsi="Times New Roman"/>
          <w:color w:val="000000"/>
          <w:sz w:val="24"/>
          <w:szCs w:val="24"/>
        </w:rPr>
        <w:t xml:space="preserve"> – </w:t>
      </w:r>
      <w:r w:rsidRPr="00A84F18">
        <w:rPr>
          <w:rFonts w:ascii="Times New Roman" w:hAnsi="Times New Roman"/>
          <w:color w:val="000000"/>
          <w:sz w:val="24"/>
          <w:szCs w:val="24"/>
        </w:rPr>
        <w:t>2025) содржи мерки за справување со дезинформациите и хибридите закани. Сепак, заложбите за борба против дезинформациите се ограничени. Аудиовизуелниот сектор продолжи да ги користи придобивките од учеството на земјата во MEDIA и во меѓусекторските потпрограми на програмата „Креативна Европа“.</w:t>
      </w:r>
    </w:p>
    <w:p w:rsidR="00B76D43" w:rsidRPr="00A84F18" w:rsidRDefault="00B76D43" w:rsidP="008D6AE4">
      <w:pPr>
        <w:pStyle w:val="Heading2"/>
      </w:pPr>
      <w:bookmarkStart w:id="74" w:name="bookmark46"/>
      <w:bookmarkStart w:id="75" w:name="_Toc150411752"/>
      <w:r w:rsidRPr="00A84F18">
        <w:t>П</w:t>
      </w:r>
      <w:bookmarkEnd w:id="74"/>
      <w:r w:rsidRPr="00A84F18">
        <w:t>оглавје 16: Оданочување</w:t>
      </w:r>
      <w:bookmarkEnd w:id="75"/>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i/>
          <w:iCs/>
          <w:color w:val="000000"/>
          <w:sz w:val="24"/>
          <w:szCs w:val="24"/>
        </w:rPr>
        <w:t>Правилата на ЕУ за оданочување опфаќаат данок на додадена вредност, акцизи и аспекти на корпоративно оданочување. Тие, исто така, ја опфаќаат и соработката меѓу даночните управи, вклучувајќи и размена на информации за спречување даночно затајување.</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Северна Македонија е </w:t>
      </w:r>
      <w:r w:rsidRPr="00A84F18">
        <w:rPr>
          <w:rFonts w:ascii="Times New Roman" w:hAnsi="Times New Roman"/>
          <w:b/>
          <w:bCs/>
          <w:color w:val="000000"/>
          <w:sz w:val="24"/>
          <w:szCs w:val="24"/>
        </w:rPr>
        <w:t xml:space="preserve">умерено подготвена </w:t>
      </w:r>
      <w:r w:rsidRPr="00A84F18">
        <w:rPr>
          <w:rFonts w:ascii="Times New Roman" w:hAnsi="Times New Roman"/>
          <w:color w:val="000000"/>
          <w:sz w:val="24"/>
          <w:szCs w:val="24"/>
        </w:rPr>
        <w:t xml:space="preserve">во областа оданочување. </w:t>
      </w:r>
      <w:r w:rsidRPr="00721A72">
        <w:rPr>
          <w:rFonts w:ascii="Times New Roman" w:hAnsi="Times New Roman"/>
          <w:bCs/>
          <w:color w:val="000000"/>
          <w:sz w:val="24"/>
          <w:szCs w:val="24"/>
        </w:rPr>
        <w:t>Постигнат е</w:t>
      </w:r>
      <w:r w:rsidRPr="00A84F18">
        <w:rPr>
          <w:rFonts w:ascii="Times New Roman" w:hAnsi="Times New Roman"/>
          <w:b/>
          <w:bCs/>
          <w:color w:val="000000"/>
          <w:sz w:val="24"/>
          <w:szCs w:val="24"/>
        </w:rPr>
        <w:t xml:space="preserve"> одреден напредок</w:t>
      </w:r>
      <w:r w:rsidRPr="00A84F18">
        <w:rPr>
          <w:rFonts w:ascii="Times New Roman" w:hAnsi="Times New Roman"/>
          <w:color w:val="000000"/>
          <w:sz w:val="24"/>
          <w:szCs w:val="24"/>
        </w:rPr>
        <w:t xml:space="preserve">, поконкретно во измените на нејзиниот повластен даночен режим во технолошките и </w:t>
      </w:r>
      <w:r>
        <w:rPr>
          <w:rFonts w:ascii="Times New Roman" w:hAnsi="Times New Roman"/>
          <w:color w:val="000000"/>
          <w:sz w:val="24"/>
          <w:szCs w:val="24"/>
        </w:rPr>
        <w:t xml:space="preserve">во </w:t>
      </w:r>
      <w:r w:rsidRPr="00A84F18">
        <w:rPr>
          <w:rFonts w:ascii="Times New Roman" w:hAnsi="Times New Roman"/>
          <w:color w:val="000000"/>
          <w:sz w:val="24"/>
          <w:szCs w:val="24"/>
        </w:rPr>
        <w:t>индустриските развојни зони. Како резултат на тоа, Северна Македонија беше отстранета од списокот на некооперативни јурисдикции за даночни цели во Анекс II. Земјата сè уште не почнала со автоматска размена на информации за финансиски сметки според стандардот на Организацијата за економска соработка и развој (ОЕЦД).</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Бидејќи препораките од минатата година не беа целосно спроведени, тие остануваат да важат. Во наредната година, Северна Македонија особено треба:</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w:t>
      </w:r>
      <w:r w:rsidRPr="00A84F18">
        <w:rPr>
          <w:rFonts w:ascii="Times New Roman" w:hAnsi="Times New Roman"/>
          <w:color w:val="000000"/>
          <w:sz w:val="24"/>
          <w:szCs w:val="24"/>
        </w:rPr>
        <w:tab/>
        <w:t>да развие нов интегриран ИТ-даночен систем за Управата за јавни приходи (УЈП), да ги подобри неговата усогласеност во управувањето со ризици и процесот на стратешки реформи на УЈП;</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w:t>
      </w:r>
      <w:r w:rsidRPr="00A84F18">
        <w:rPr>
          <w:rFonts w:ascii="Times New Roman" w:hAnsi="Times New Roman"/>
          <w:color w:val="000000"/>
          <w:sz w:val="24"/>
          <w:szCs w:val="24"/>
        </w:rPr>
        <w:tab/>
        <w:t>да почне со подготовки за воспоставување механизам за ефективно спроведување на автоматската размена на информации за финансиски сметки со земјите членки на ЕУ, во согласност со глобалниот стандард на ОЕЦД.</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Во однос на </w:t>
      </w:r>
      <w:r w:rsidRPr="00A84F18">
        <w:rPr>
          <w:rFonts w:ascii="Times New Roman" w:hAnsi="Times New Roman"/>
          <w:b/>
          <w:bCs/>
          <w:color w:val="000000"/>
          <w:sz w:val="24"/>
          <w:szCs w:val="24"/>
        </w:rPr>
        <w:t>индиректното оданочување</w:t>
      </w:r>
      <w:r w:rsidRPr="00A84F18">
        <w:rPr>
          <w:rFonts w:ascii="Times New Roman" w:hAnsi="Times New Roman"/>
          <w:color w:val="000000"/>
          <w:sz w:val="24"/>
          <w:szCs w:val="24"/>
        </w:rPr>
        <w:t xml:space="preserve">, ослободувањата од ДДВ и повластените стапки за основните производи беа отстранети на крајот на 2022 година. Повластена </w:t>
      </w:r>
      <w:r>
        <w:rPr>
          <w:rFonts w:ascii="Times New Roman" w:hAnsi="Times New Roman"/>
          <w:color w:val="000000"/>
          <w:sz w:val="24"/>
          <w:szCs w:val="24"/>
        </w:rPr>
        <w:t xml:space="preserve">стапка на </w:t>
      </w:r>
      <w:r w:rsidRPr="00A84F18">
        <w:rPr>
          <w:rFonts w:ascii="Times New Roman" w:hAnsi="Times New Roman"/>
          <w:color w:val="000000"/>
          <w:sz w:val="24"/>
          <w:szCs w:val="24"/>
        </w:rPr>
        <w:t>ДДВ од 10 % беше применета на некои енергетски производи за да се ублажат ефектите од високите меѓународни цени за енергија. Повластената</w:t>
      </w:r>
      <w:r>
        <w:rPr>
          <w:rFonts w:ascii="Times New Roman" w:hAnsi="Times New Roman"/>
          <w:color w:val="000000"/>
          <w:sz w:val="24"/>
          <w:szCs w:val="24"/>
        </w:rPr>
        <w:t xml:space="preserve"> стапка на</w:t>
      </w:r>
      <w:r w:rsidRPr="00A84F18">
        <w:rPr>
          <w:rFonts w:ascii="Times New Roman" w:hAnsi="Times New Roman"/>
          <w:color w:val="000000"/>
          <w:sz w:val="24"/>
          <w:szCs w:val="24"/>
        </w:rPr>
        <w:t xml:space="preserve"> ДДВ од 10 % за електрична енергија за домаќинствата важеше до 30 јуни 2023 година. Останува доцнењето во процесот на поврат на ДДВ, со тоа што само 45 % од поднесените барања во 2022 година добија поврат во рамките на законскиот рок од 30 дена.</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Имаше одредени промени во однос на </w:t>
      </w:r>
      <w:r w:rsidRPr="00A84F18">
        <w:rPr>
          <w:rFonts w:ascii="Times New Roman" w:hAnsi="Times New Roman"/>
          <w:b/>
          <w:bCs/>
          <w:color w:val="000000"/>
          <w:sz w:val="24"/>
          <w:szCs w:val="24"/>
        </w:rPr>
        <w:t>директното оданочување</w:t>
      </w:r>
      <w:r w:rsidRPr="00721A72">
        <w:rPr>
          <w:rFonts w:ascii="Times New Roman" w:hAnsi="Times New Roman"/>
          <w:color w:val="000000"/>
          <w:sz w:val="24"/>
          <w:szCs w:val="24"/>
        </w:rPr>
        <w:t>.</w:t>
      </w:r>
      <w:r w:rsidRPr="00A84F18">
        <w:rPr>
          <w:rFonts w:ascii="Times New Roman" w:hAnsi="Times New Roman"/>
          <w:b/>
          <w:bCs/>
          <w:color w:val="000000"/>
          <w:sz w:val="24"/>
          <w:szCs w:val="24"/>
        </w:rPr>
        <w:t xml:space="preserve"> </w:t>
      </w:r>
      <w:r w:rsidRPr="00A84F18">
        <w:rPr>
          <w:rFonts w:ascii="Times New Roman" w:hAnsi="Times New Roman"/>
          <w:color w:val="000000"/>
          <w:sz w:val="24"/>
          <w:szCs w:val="24"/>
        </w:rPr>
        <w:t>Рамната стапка за персонален данок на доход од 10 % беше надополнета со стапка од 15 % за приходи од игри на среќа. Со измените на Законот за персонален данок на доход, од 1 јануари 2023 година се укина ослободувањето од оданочување на каматите на заштедите и од оданочувањето на капиталните добивки на хартиите од вредност. Земјата треба да го усогласи своето законодавство со Директивата за спојувања.</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Во однос на </w:t>
      </w:r>
      <w:r w:rsidRPr="00A84F18">
        <w:rPr>
          <w:rFonts w:ascii="Times New Roman" w:hAnsi="Times New Roman"/>
          <w:b/>
          <w:bCs/>
          <w:color w:val="000000"/>
          <w:sz w:val="24"/>
          <w:szCs w:val="24"/>
        </w:rPr>
        <w:t>административна соработка и заемна помош</w:t>
      </w:r>
      <w:r w:rsidRPr="00A84F18">
        <w:rPr>
          <w:rFonts w:ascii="Times New Roman" w:hAnsi="Times New Roman"/>
          <w:color w:val="000000"/>
          <w:sz w:val="24"/>
          <w:szCs w:val="24"/>
        </w:rPr>
        <w:t>, Северна Македонија има потпишано 49 договори за двојно оданочување, вклучително и со сите земји членки на ЕУ, освен Кипар, Малта, Португалија и Грција, со кои преговорите се во тек. Земјата сè уште не се обврзала со датум за почеток на примена на стандардот на ОЕЦД за автоматска размена на информации за финансиски сметки. Земјата останува посветена на спроведувањето на минималните стандарди на Инклузивната рамка на ОЕЦД за ерозија на даночната основа и преместување на профитот (БЕПС). Во јануари 2023 година Северна Македонија го измени својот повластен даночен режим во слободните економски зони, со што ги исполни барањата на Форумот за штетни даночни практики и на ЕУ, за да го унапреди доброто владеење во областа на оданочувањето.</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Во однос на </w:t>
      </w:r>
      <w:r w:rsidRPr="00A84F18">
        <w:rPr>
          <w:rFonts w:ascii="Times New Roman" w:hAnsi="Times New Roman"/>
          <w:b/>
          <w:bCs/>
          <w:color w:val="000000"/>
          <w:sz w:val="24"/>
          <w:szCs w:val="24"/>
        </w:rPr>
        <w:t>оперативниот капацитет и компјутеризацијата</w:t>
      </w:r>
      <w:r w:rsidRPr="00A84F18">
        <w:rPr>
          <w:rFonts w:ascii="Times New Roman" w:hAnsi="Times New Roman"/>
          <w:color w:val="000000"/>
          <w:sz w:val="24"/>
          <w:szCs w:val="24"/>
        </w:rPr>
        <w:t xml:space="preserve">, УЈП сè уште треба да ги подобри своите деловни процеси, да спроведе нов интегриран ИТ-даночен систем со кој ќе го замени моменталниот фрагментиран ИТ-систем, да развие усогласеност на управувањето со ризиците и дополнително да ги прошири електронските услуги. Продолжува работата на </w:t>
      </w:r>
      <w:r>
        <w:rPr>
          <w:rFonts w:ascii="Times New Roman" w:hAnsi="Times New Roman"/>
          <w:color w:val="000000"/>
          <w:sz w:val="24"/>
          <w:szCs w:val="24"/>
        </w:rPr>
        <w:t>С</w:t>
      </w:r>
      <w:r w:rsidRPr="00A84F18">
        <w:rPr>
          <w:rFonts w:ascii="Times New Roman" w:hAnsi="Times New Roman"/>
          <w:color w:val="000000"/>
          <w:sz w:val="24"/>
          <w:szCs w:val="24"/>
        </w:rPr>
        <w:t xml:space="preserve">тратегијата за </w:t>
      </w:r>
      <w:r>
        <w:rPr>
          <w:rFonts w:ascii="Times New Roman" w:hAnsi="Times New Roman"/>
          <w:color w:val="000000"/>
          <w:sz w:val="24"/>
          <w:szCs w:val="24"/>
        </w:rPr>
        <w:t>реформа на</w:t>
      </w:r>
      <w:r w:rsidRPr="00A84F18">
        <w:rPr>
          <w:rFonts w:ascii="Times New Roman" w:hAnsi="Times New Roman"/>
          <w:color w:val="000000"/>
          <w:sz w:val="24"/>
          <w:szCs w:val="24"/>
        </w:rPr>
        <w:t xml:space="preserve"> даночниот систем 2021 – 2025. Во текот на извештајниот</w:t>
      </w:r>
      <w:r w:rsidRPr="00A84F18">
        <w:rPr>
          <w:rFonts w:ascii="Times New Roman" w:hAnsi="Times New Roman"/>
          <w:sz w:val="24"/>
          <w:szCs w:val="24"/>
        </w:rPr>
        <w:t xml:space="preserve"> </w:t>
      </w:r>
      <w:r w:rsidRPr="00A84F18">
        <w:rPr>
          <w:rFonts w:ascii="Times New Roman" w:hAnsi="Times New Roman"/>
          <w:color w:val="000000"/>
          <w:sz w:val="24"/>
          <w:szCs w:val="24"/>
        </w:rPr>
        <w:t xml:space="preserve">период, Законот за УЈП беше изменет и дополнет за да овозможи подинамична организациска структура што ќе одговара на тековниот процес на модернизација на ИТ-системите. Воведена беше посилна шема за монетарен поттик на клиентите да бараат фактури и сметки при купување, со цел борба против сивата економија. УЈП продолжува да учествува во заеднички инспекциски надзор со други државни тела за да идентификува неплатени даночни обврски и нерегистрирани даночни обврзници </w:t>
      </w:r>
      <w:r>
        <w:rPr>
          <w:rFonts w:ascii="Times New Roman" w:hAnsi="Times New Roman"/>
          <w:color w:val="000000"/>
          <w:sz w:val="24"/>
          <w:szCs w:val="24"/>
        </w:rPr>
        <w:t>заради</w:t>
      </w:r>
      <w:r w:rsidRPr="00A84F18">
        <w:rPr>
          <w:rFonts w:ascii="Times New Roman" w:hAnsi="Times New Roman"/>
          <w:color w:val="000000"/>
          <w:sz w:val="24"/>
          <w:szCs w:val="24"/>
        </w:rPr>
        <w:t xml:space="preserve"> подобрување на наплатата на даноците. УЈП и Државната комисија за спречување корупција потпишаа Договор за соработка и размена на податоци. УЈП е обврзана да обезбедува податоци од единствениот регистар на даночни обврзници до ДКСК, во согласност со Законот за спречување корупција и </w:t>
      </w:r>
      <w:r>
        <w:rPr>
          <w:rFonts w:ascii="Times New Roman" w:hAnsi="Times New Roman"/>
          <w:color w:val="000000"/>
          <w:sz w:val="24"/>
          <w:szCs w:val="24"/>
        </w:rPr>
        <w:t>судир</w:t>
      </w:r>
      <w:r w:rsidRPr="00A84F18">
        <w:rPr>
          <w:rFonts w:ascii="Times New Roman" w:hAnsi="Times New Roman"/>
          <w:color w:val="000000"/>
          <w:sz w:val="24"/>
          <w:szCs w:val="24"/>
        </w:rPr>
        <w:t xml:space="preserve"> </w:t>
      </w:r>
      <w:r>
        <w:rPr>
          <w:rFonts w:ascii="Times New Roman" w:hAnsi="Times New Roman"/>
          <w:color w:val="000000"/>
          <w:sz w:val="24"/>
          <w:szCs w:val="24"/>
        </w:rPr>
        <w:t>на интереси</w:t>
      </w:r>
      <w:r w:rsidRPr="00A84F18">
        <w:rPr>
          <w:rFonts w:ascii="Times New Roman" w:hAnsi="Times New Roman"/>
          <w:color w:val="000000"/>
          <w:sz w:val="24"/>
          <w:szCs w:val="24"/>
        </w:rPr>
        <w:t>.</w:t>
      </w:r>
    </w:p>
    <w:p w:rsidR="00B76D43" w:rsidRPr="00A84F18" w:rsidRDefault="00B76D43" w:rsidP="008D6AE4">
      <w:pPr>
        <w:pStyle w:val="Heading2"/>
      </w:pPr>
      <w:bookmarkStart w:id="76" w:name="bookmark47"/>
      <w:bookmarkStart w:id="77" w:name="_Toc150411753"/>
      <w:r w:rsidRPr="00A84F18">
        <w:t>П</w:t>
      </w:r>
      <w:bookmarkEnd w:id="76"/>
      <w:r w:rsidRPr="00A84F18">
        <w:t>оглавје 17: Економска и монетарна политика</w:t>
      </w:r>
      <w:bookmarkEnd w:id="77"/>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i/>
          <w:iCs/>
          <w:color w:val="000000"/>
          <w:sz w:val="24"/>
          <w:szCs w:val="24"/>
        </w:rPr>
        <w:t xml:space="preserve">Правилата на ЕУ бараат независност на централните банки и им забрануваат директно да го финансираат јавниот сектор. Земјите членки на ЕУ ги координираат </w:t>
      </w:r>
      <w:r>
        <w:rPr>
          <w:rFonts w:ascii="Times New Roman" w:hAnsi="Times New Roman"/>
          <w:i/>
          <w:iCs/>
          <w:color w:val="000000"/>
          <w:sz w:val="24"/>
          <w:szCs w:val="24"/>
        </w:rPr>
        <w:t>своите</w:t>
      </w:r>
      <w:r w:rsidRPr="00A84F18">
        <w:rPr>
          <w:rFonts w:ascii="Times New Roman" w:hAnsi="Times New Roman"/>
          <w:i/>
          <w:iCs/>
          <w:color w:val="000000"/>
          <w:sz w:val="24"/>
          <w:szCs w:val="24"/>
        </w:rPr>
        <w:t xml:space="preserve"> економски политики и </w:t>
      </w:r>
      <w:r>
        <w:rPr>
          <w:rFonts w:ascii="Times New Roman" w:hAnsi="Times New Roman"/>
          <w:i/>
          <w:iCs/>
          <w:color w:val="000000"/>
          <w:sz w:val="24"/>
          <w:szCs w:val="24"/>
        </w:rPr>
        <w:t>подложат</w:t>
      </w:r>
      <w:r w:rsidRPr="00A84F18">
        <w:rPr>
          <w:rFonts w:ascii="Times New Roman" w:hAnsi="Times New Roman"/>
          <w:i/>
          <w:iCs/>
          <w:color w:val="000000"/>
          <w:sz w:val="24"/>
          <w:szCs w:val="24"/>
        </w:rPr>
        <w:t xml:space="preserve"> на фискален, економски и финансиски надзор.</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Земјата е </w:t>
      </w:r>
      <w:r w:rsidRPr="00A84F18">
        <w:rPr>
          <w:rFonts w:ascii="Times New Roman" w:hAnsi="Times New Roman"/>
          <w:b/>
          <w:bCs/>
          <w:color w:val="000000"/>
          <w:sz w:val="24"/>
          <w:szCs w:val="24"/>
        </w:rPr>
        <w:t xml:space="preserve">помеѓу умерено и добро ниво на подготвеност </w:t>
      </w:r>
      <w:r w:rsidRPr="00A84F18">
        <w:rPr>
          <w:rFonts w:ascii="Times New Roman" w:hAnsi="Times New Roman"/>
          <w:color w:val="000000"/>
          <w:sz w:val="24"/>
          <w:szCs w:val="24"/>
        </w:rPr>
        <w:t xml:space="preserve">во областа на економската и </w:t>
      </w:r>
      <w:r>
        <w:rPr>
          <w:rFonts w:ascii="Times New Roman" w:hAnsi="Times New Roman"/>
          <w:color w:val="000000"/>
          <w:sz w:val="24"/>
          <w:szCs w:val="24"/>
        </w:rPr>
        <w:t xml:space="preserve">на </w:t>
      </w:r>
      <w:r w:rsidRPr="00A84F18">
        <w:rPr>
          <w:rFonts w:ascii="Times New Roman" w:hAnsi="Times New Roman"/>
          <w:color w:val="000000"/>
          <w:sz w:val="24"/>
          <w:szCs w:val="24"/>
        </w:rPr>
        <w:t xml:space="preserve">монетарната политика и </w:t>
      </w:r>
      <w:r w:rsidRPr="00625C84">
        <w:rPr>
          <w:rFonts w:ascii="Times New Roman" w:hAnsi="Times New Roman"/>
          <w:color w:val="000000"/>
          <w:sz w:val="24"/>
          <w:szCs w:val="24"/>
        </w:rPr>
        <w:t>постигнат е</w:t>
      </w:r>
      <w:r w:rsidRPr="00A84F18">
        <w:rPr>
          <w:rFonts w:ascii="Times New Roman" w:hAnsi="Times New Roman"/>
          <w:b/>
          <w:bCs/>
          <w:color w:val="000000"/>
          <w:sz w:val="24"/>
          <w:szCs w:val="24"/>
        </w:rPr>
        <w:t xml:space="preserve"> одреден напредок</w:t>
      </w:r>
      <w:r w:rsidRPr="00A84F18">
        <w:rPr>
          <w:rFonts w:ascii="Times New Roman" w:hAnsi="Times New Roman"/>
          <w:color w:val="000000"/>
          <w:sz w:val="24"/>
          <w:szCs w:val="24"/>
        </w:rPr>
        <w:t xml:space="preserve">. Собранието го донесе новиот Закон за буџети во септември 2022 година и беше иницирано изготвувањето на законодавството за спроведување. Во септември 2023 година Собранието назначи тројца членови на новиот Фискален совет. Во однос на монетарната политика, усогласувањето на правната рамка на земјата со </w:t>
      </w:r>
      <w:r w:rsidRPr="00A84F18">
        <w:rPr>
          <w:rFonts w:ascii="Times New Roman" w:hAnsi="Times New Roman"/>
          <w:i/>
          <w:iCs/>
          <w:color w:val="000000"/>
          <w:sz w:val="24"/>
          <w:szCs w:val="24"/>
        </w:rPr>
        <w:t xml:space="preserve">правото </w:t>
      </w:r>
      <w:r w:rsidRPr="00A84F18">
        <w:rPr>
          <w:rFonts w:ascii="Times New Roman" w:hAnsi="Times New Roman"/>
          <w:color w:val="000000"/>
          <w:sz w:val="24"/>
          <w:szCs w:val="24"/>
        </w:rPr>
        <w:t>на ЕУ останува во напредна фаза. Во однос на економската политика, информациите дадени во фискалната стратегија се подобрени, но усогласувањето со фискалната рамка на ЕУ е само делумно и сѐ уште постојат недостатоци во следењето на фискалните ризици.</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Во наредната година, Северна Македонија особено треба:</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w:t>
      </w:r>
      <w:r w:rsidRPr="00A84F18">
        <w:rPr>
          <w:rFonts w:ascii="Times New Roman" w:hAnsi="Times New Roman"/>
          <w:color w:val="000000"/>
          <w:sz w:val="24"/>
          <w:szCs w:val="24"/>
        </w:rPr>
        <w:tab/>
        <w:t>да донесе законодавство за спроведување на Законот за буџети со цел целосно применување на фискалните правила, зајакната среднорочна буџетска рамка и внимателно управување со фискалните ризици;</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w:t>
      </w:r>
      <w:r w:rsidRPr="00A84F18">
        <w:rPr>
          <w:rFonts w:ascii="Times New Roman" w:hAnsi="Times New Roman"/>
          <w:color w:val="000000"/>
          <w:sz w:val="24"/>
          <w:szCs w:val="24"/>
        </w:rPr>
        <w:tab/>
        <w:t>да ги преземе неопходните законодавни и организациски чекори за да му овозможи на Фискалниот совет да ги преземе активностите и да го процени буџетот за 2024 година и новата фискална стратегија;</w:t>
      </w:r>
    </w:p>
    <w:p w:rsidR="00B76D43" w:rsidRPr="00A84F18" w:rsidRDefault="00B76D43"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w:t>
      </w:r>
      <w:r w:rsidRPr="00A84F18">
        <w:rPr>
          <w:rFonts w:ascii="Times New Roman" w:hAnsi="Times New Roman"/>
          <w:color w:val="000000"/>
          <w:sz w:val="24"/>
          <w:szCs w:val="24"/>
        </w:rPr>
        <w:tab/>
        <w:t>да ја исклучи централната банка од опсегот на Законот за административни службеници, од Законот за вработените во јавниот сектор и од Законот за системот на плати.</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Во однос на </w:t>
      </w:r>
      <w:r w:rsidRPr="00A84F18">
        <w:rPr>
          <w:rFonts w:ascii="Times New Roman" w:hAnsi="Times New Roman"/>
          <w:b/>
          <w:bCs/>
          <w:color w:val="000000"/>
          <w:sz w:val="24"/>
          <w:szCs w:val="24"/>
        </w:rPr>
        <w:t>монетарната политика</w:t>
      </w:r>
      <w:r w:rsidRPr="00A84F18">
        <w:rPr>
          <w:rFonts w:ascii="Times New Roman" w:hAnsi="Times New Roman"/>
          <w:color w:val="000000"/>
          <w:sz w:val="24"/>
          <w:szCs w:val="24"/>
        </w:rPr>
        <w:t xml:space="preserve">, усогласувањето на правната рамка на Северна Македонија со </w:t>
      </w:r>
      <w:r w:rsidRPr="00A84F18">
        <w:rPr>
          <w:rFonts w:ascii="Times New Roman" w:hAnsi="Times New Roman"/>
          <w:i/>
          <w:iCs/>
          <w:color w:val="000000"/>
          <w:sz w:val="24"/>
          <w:szCs w:val="24"/>
        </w:rPr>
        <w:t xml:space="preserve">правото </w:t>
      </w:r>
      <w:r w:rsidRPr="00A84F18">
        <w:rPr>
          <w:rFonts w:ascii="Times New Roman" w:hAnsi="Times New Roman"/>
          <w:color w:val="000000"/>
          <w:sz w:val="24"/>
          <w:szCs w:val="24"/>
        </w:rPr>
        <w:t>на ЕУ останува во напредна фаза. Во согласност со целите на Европскиот систем на централни банки, централната банка се стреми кон стабилност на цените како нејзина примарна цел. Исто така, централната банка го поддржува економскиот раст преку своите политики. Секундарна цел е да придонесе за заштита на стабилен, конкурентен и пазарно ориентиран систем на финансирање. Монетарната политика е соодветно затегната како одговор на порастот на инфлацијата. Важно е да се одржува континуирана претпазливост, исто така, со оглед на широкиот, иако стеснет диференцијал на инфлацијата со еврозоната</w:t>
      </w:r>
      <w:r w:rsidRPr="00625C84">
        <w:rPr>
          <w:rFonts w:ascii="Times New Roman" w:hAnsi="Times New Roman"/>
          <w:color w:val="000000"/>
          <w:sz w:val="24"/>
          <w:szCs w:val="24"/>
        </w:rPr>
        <w:t>.</w:t>
      </w:r>
      <w:r w:rsidRPr="00A84F18">
        <w:rPr>
          <w:rFonts w:ascii="Times New Roman" w:hAnsi="Times New Roman"/>
          <w:b/>
          <w:bCs/>
          <w:color w:val="000000"/>
          <w:sz w:val="24"/>
          <w:szCs w:val="24"/>
        </w:rPr>
        <w:t xml:space="preserve"> </w:t>
      </w:r>
      <w:r w:rsidRPr="00A84F18">
        <w:rPr>
          <w:rFonts w:ascii="Times New Roman" w:hAnsi="Times New Roman"/>
          <w:color w:val="000000"/>
          <w:sz w:val="24"/>
          <w:szCs w:val="24"/>
        </w:rPr>
        <w:t xml:space="preserve">Функционалната и финансиската независност на централната банка е предвидена во Законот за Народната банка. Потребно е да се одржува независноста на централната банка во нејзините клучни законски задачи, вклучително и во прашањата за кадар, во согласност со Законот. Во таа насока, централната банка треба да биде исклучена од опсегот на законите што може да влијаат врз нејзината независност, вклучувајќи ги Законот за административни службеници, Законот за вработените во јавниот сектор, како и новопредложениот Закон за плати во јавниот сектор. Централната банка треба да биде способна да спроведува внатрешни планови за организација и </w:t>
      </w:r>
      <w:r>
        <w:rPr>
          <w:rFonts w:ascii="Times New Roman" w:hAnsi="Times New Roman"/>
          <w:color w:val="000000"/>
          <w:sz w:val="24"/>
          <w:szCs w:val="24"/>
        </w:rPr>
        <w:t xml:space="preserve">за </w:t>
      </w:r>
      <w:r w:rsidRPr="00A84F18">
        <w:rPr>
          <w:rFonts w:ascii="Times New Roman" w:hAnsi="Times New Roman"/>
          <w:color w:val="000000"/>
          <w:sz w:val="24"/>
          <w:szCs w:val="24"/>
        </w:rPr>
        <w:t xml:space="preserve">вработување без да бара одобрение од </w:t>
      </w:r>
      <w:r>
        <w:rPr>
          <w:rFonts w:ascii="Times New Roman" w:hAnsi="Times New Roman"/>
          <w:color w:val="000000"/>
          <w:sz w:val="24"/>
          <w:szCs w:val="24"/>
        </w:rPr>
        <w:t>В</w:t>
      </w:r>
      <w:r w:rsidRPr="00A84F18">
        <w:rPr>
          <w:rFonts w:ascii="Times New Roman" w:hAnsi="Times New Roman"/>
          <w:color w:val="000000"/>
          <w:sz w:val="24"/>
          <w:szCs w:val="24"/>
        </w:rPr>
        <w:t>ладата.</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Во однос на </w:t>
      </w:r>
      <w:r w:rsidRPr="00A84F18">
        <w:rPr>
          <w:rFonts w:ascii="Times New Roman" w:hAnsi="Times New Roman"/>
          <w:b/>
          <w:bCs/>
          <w:color w:val="000000"/>
          <w:sz w:val="24"/>
          <w:szCs w:val="24"/>
        </w:rPr>
        <w:t>економската политика</w:t>
      </w:r>
      <w:r w:rsidRPr="00A84F18">
        <w:rPr>
          <w:rFonts w:ascii="Times New Roman" w:hAnsi="Times New Roman"/>
          <w:color w:val="000000"/>
          <w:sz w:val="24"/>
          <w:szCs w:val="24"/>
        </w:rPr>
        <w:t>, Северна Македонија почна да го подготвува законодавството за спроведување за Законот за буџети (ЗБ) од 2022 година во согласност со Директивата за буџетски рамки на ЕУ.</w:t>
      </w:r>
    </w:p>
    <w:p w:rsidR="00B76D43" w:rsidRPr="00A84F18" w:rsidRDefault="00B76D43" w:rsidP="008D6AE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color w:val="000000"/>
          <w:sz w:val="24"/>
          <w:szCs w:val="24"/>
        </w:rPr>
        <w:t xml:space="preserve">Со новиот закон се предвидени нумерички фискални правила за дефицитот и </w:t>
      </w:r>
      <w:r>
        <w:rPr>
          <w:rFonts w:ascii="Times New Roman" w:hAnsi="Times New Roman"/>
          <w:color w:val="000000"/>
          <w:sz w:val="24"/>
          <w:szCs w:val="24"/>
        </w:rPr>
        <w:t xml:space="preserve">за </w:t>
      </w:r>
      <w:r w:rsidRPr="00A84F18">
        <w:rPr>
          <w:rFonts w:ascii="Times New Roman" w:hAnsi="Times New Roman"/>
          <w:color w:val="000000"/>
          <w:sz w:val="24"/>
          <w:szCs w:val="24"/>
        </w:rPr>
        <w:t xml:space="preserve">долгот на општата влада, формирање независен фискален совет и подобрувања во среднорочната буџетска рамка. Одредбите на новиот ЗБ треба брзо да се </w:t>
      </w:r>
      <w:r>
        <w:rPr>
          <w:rFonts w:ascii="Times New Roman" w:hAnsi="Times New Roman"/>
          <w:color w:val="000000"/>
          <w:sz w:val="24"/>
          <w:szCs w:val="24"/>
        </w:rPr>
        <w:t>спроведат</w:t>
      </w:r>
      <w:r w:rsidRPr="00A84F18">
        <w:rPr>
          <w:rFonts w:ascii="Times New Roman" w:hAnsi="Times New Roman"/>
          <w:color w:val="000000"/>
          <w:sz w:val="24"/>
          <w:szCs w:val="24"/>
        </w:rPr>
        <w:t xml:space="preserve"> во целост. Среднорочната фискална консолидација презентирана во Фискалната стратегија 2023 – 2027 е одразена во буџетот за 2023 година, поддржана со буџетска рамка заснована врз правила според новиот Закон за буџети. </w:t>
      </w:r>
      <w:r>
        <w:rPr>
          <w:rFonts w:ascii="Times New Roman" w:hAnsi="Times New Roman"/>
          <w:color w:val="000000"/>
          <w:sz w:val="24"/>
          <w:szCs w:val="24"/>
        </w:rPr>
        <w:t>Н</w:t>
      </w:r>
      <w:r w:rsidRPr="00A84F18">
        <w:rPr>
          <w:rFonts w:ascii="Times New Roman" w:hAnsi="Times New Roman"/>
          <w:color w:val="000000"/>
          <w:sz w:val="24"/>
          <w:szCs w:val="24"/>
        </w:rPr>
        <w:t xml:space="preserve">апредуваа </w:t>
      </w:r>
      <w:r>
        <w:rPr>
          <w:rFonts w:ascii="Times New Roman" w:hAnsi="Times New Roman"/>
          <w:color w:val="000000"/>
          <w:sz w:val="24"/>
          <w:szCs w:val="24"/>
        </w:rPr>
        <w:t>п</w:t>
      </w:r>
      <w:r w:rsidRPr="00A84F18">
        <w:rPr>
          <w:rFonts w:ascii="Times New Roman" w:hAnsi="Times New Roman"/>
          <w:color w:val="000000"/>
          <w:sz w:val="24"/>
          <w:szCs w:val="24"/>
        </w:rPr>
        <w:t xml:space="preserve">одготовките за формирање независен фискален совет за следење на усогласеноста со правилата и проверка на макрофискалните проекции, а среднорочната фискална рамка беше зајакната во рамките на фискалната стратегија 2024 – 2028, која беше донесена во јуни 2023 година. Постигнат е ограничен напредок во зајакнувањето на следењето на фискалните ризици поврзани со државните претпријатија, јавно-приватните партнерства и единиците на локалната самоуправа. Како што е предвидено со ЗБ, постои потреба да се изработи сеопфатен регистар на државни претпријатија и методологија за </w:t>
      </w:r>
      <w:r>
        <w:rPr>
          <w:rFonts w:ascii="Times New Roman" w:hAnsi="Times New Roman"/>
          <w:color w:val="000000"/>
          <w:sz w:val="24"/>
          <w:szCs w:val="24"/>
        </w:rPr>
        <w:t>процена</w:t>
      </w:r>
      <w:r w:rsidRPr="00A84F18">
        <w:rPr>
          <w:rFonts w:ascii="Times New Roman" w:hAnsi="Times New Roman"/>
          <w:color w:val="000000"/>
          <w:sz w:val="24"/>
          <w:szCs w:val="24"/>
        </w:rPr>
        <w:t xml:space="preserve"> на поврзаните ризици.</w:t>
      </w:r>
    </w:p>
    <w:p w:rsidR="00B76D43" w:rsidRPr="009C5D97" w:rsidRDefault="00B76D43" w:rsidP="00A661C4">
      <w:pPr>
        <w:shd w:val="clear" w:color="auto" w:fill="FFFFFF"/>
        <w:spacing w:before="120" w:after="120" w:line="240" w:lineRule="auto"/>
        <w:jc w:val="both"/>
        <w:rPr>
          <w:rFonts w:ascii="Times New Roman" w:hAnsi="Times New Roman"/>
          <w:sz w:val="24"/>
          <w:szCs w:val="24"/>
        </w:rPr>
      </w:pPr>
      <w:r w:rsidRPr="00A84F18">
        <w:rPr>
          <w:rFonts w:ascii="Times New Roman" w:hAnsi="Times New Roman"/>
          <w:b/>
          <w:bCs/>
          <w:color w:val="000000"/>
          <w:sz w:val="24"/>
          <w:szCs w:val="24"/>
        </w:rPr>
        <w:t>Програмата за економски реформи</w:t>
      </w:r>
      <w:r w:rsidRPr="00A84F18">
        <w:rPr>
          <w:rFonts w:ascii="Times New Roman" w:hAnsi="Times New Roman"/>
          <w:color w:val="000000"/>
          <w:sz w:val="24"/>
          <w:szCs w:val="24"/>
        </w:rPr>
        <w:t xml:space="preserve"> (ПЕР) за 2023 – 2025 година беше доставена на 1 февруари 2023 година. Земјата делумно ги спроведе насоките за политики специфични за земјата, заеднички донесени од ЕУ и Западен Балкан и Турција на министерско ниво во мај 2022 година. Споредено со минатата година, нивото на спроведување на насоките за политики е подобрено, особено поради напредокот во макрофискалната област. Макроекономската рамка на ПЕР е кохерентна и конзистентна, а и донекаде оптимистичка. За структурните реформи, фокусот е на решавање на правилно идентификуваните клучни структурни предизвици, вклучувајќи ја и зелената транзиција. </w:t>
      </w:r>
      <w:r>
        <w:rPr>
          <w:rFonts w:ascii="Times New Roman" w:hAnsi="Times New Roman"/>
          <w:color w:val="000000"/>
          <w:sz w:val="24"/>
          <w:szCs w:val="24"/>
        </w:rPr>
        <w:t>Т</w:t>
      </w:r>
      <w:r w:rsidRPr="00A84F18">
        <w:rPr>
          <w:rFonts w:ascii="Times New Roman" w:hAnsi="Times New Roman"/>
          <w:color w:val="000000"/>
          <w:sz w:val="24"/>
          <w:szCs w:val="24"/>
        </w:rPr>
        <w:t xml:space="preserve">реба да се подобри </w:t>
      </w:r>
      <w:r>
        <w:rPr>
          <w:rFonts w:ascii="Times New Roman" w:hAnsi="Times New Roman"/>
          <w:color w:val="000000"/>
          <w:sz w:val="24"/>
          <w:szCs w:val="24"/>
        </w:rPr>
        <w:t>с</w:t>
      </w:r>
      <w:r w:rsidRPr="00A84F18">
        <w:rPr>
          <w:rFonts w:ascii="Times New Roman" w:hAnsi="Times New Roman"/>
          <w:color w:val="000000"/>
          <w:sz w:val="24"/>
          <w:szCs w:val="24"/>
        </w:rPr>
        <w:t xml:space="preserve">проведувањето на мерките на ПЕР за структурни реформи, бидејќи е засегнато од ограничениот капацитет на јавните институции, и потребно е </w:t>
      </w:r>
      <w:r w:rsidR="00E977F6">
        <w:rPr>
          <w:rFonts w:ascii="Times New Roman" w:hAnsi="Times New Roman"/>
          <w:color w:val="000000"/>
          <w:sz w:val="24"/>
          <w:szCs w:val="24"/>
        </w:rPr>
        <w:t>фокусирање</w:t>
      </w:r>
      <w:r w:rsidR="00E977F6" w:rsidRPr="00A84F18">
        <w:rPr>
          <w:rFonts w:ascii="Times New Roman" w:hAnsi="Times New Roman"/>
          <w:color w:val="000000"/>
          <w:sz w:val="24"/>
          <w:szCs w:val="24"/>
        </w:rPr>
        <w:t xml:space="preserve"> </w:t>
      </w:r>
      <w:r w:rsidRPr="00A84F18">
        <w:rPr>
          <w:rFonts w:ascii="Times New Roman" w:hAnsi="Times New Roman"/>
          <w:color w:val="000000"/>
          <w:sz w:val="24"/>
          <w:szCs w:val="24"/>
        </w:rPr>
        <w:t>на краткорочните мерки за неутрализирање на енергетската криза.</w:t>
      </w:r>
    </w:p>
    <w:p w:rsidR="006B3D9A" w:rsidRPr="00A60B94" w:rsidRDefault="006B3D9A" w:rsidP="00A661C4">
      <w:pPr>
        <w:pStyle w:val="Heading2"/>
      </w:pPr>
      <w:bookmarkStart w:id="78" w:name="bookmark48"/>
      <w:bookmarkStart w:id="79" w:name="_Toc150864274"/>
      <w:r w:rsidRPr="00A60B94">
        <w:t>П</w:t>
      </w:r>
      <w:bookmarkEnd w:id="78"/>
      <w:r w:rsidRPr="00A60B94">
        <w:t>оглавје 19: Социјална политика и вработување</w:t>
      </w:r>
      <w:bookmarkEnd w:id="79"/>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Pr>
          <w:rFonts w:ascii="Times New Roman" w:hAnsi="Times New Roman"/>
          <w:i/>
          <w:iCs/>
          <w:color w:val="000000"/>
          <w:sz w:val="24"/>
          <w:szCs w:val="24"/>
        </w:rPr>
        <w:t>Во п</w:t>
      </w:r>
      <w:r w:rsidRPr="00A60B94">
        <w:rPr>
          <w:rFonts w:ascii="Times New Roman" w:hAnsi="Times New Roman"/>
          <w:i/>
          <w:iCs/>
          <w:color w:val="000000"/>
          <w:sz w:val="24"/>
          <w:szCs w:val="24"/>
        </w:rPr>
        <w:t xml:space="preserve">равилата на ЕУ на социјалното поле </w:t>
      </w:r>
      <w:r>
        <w:rPr>
          <w:rFonts w:ascii="Times New Roman" w:hAnsi="Times New Roman"/>
          <w:i/>
          <w:iCs/>
          <w:color w:val="000000"/>
          <w:sz w:val="24"/>
          <w:szCs w:val="24"/>
        </w:rPr>
        <w:t xml:space="preserve">се </w:t>
      </w:r>
      <w:r w:rsidRPr="00A60B94">
        <w:rPr>
          <w:rFonts w:ascii="Times New Roman" w:hAnsi="Times New Roman"/>
          <w:i/>
          <w:iCs/>
          <w:color w:val="000000"/>
          <w:sz w:val="24"/>
          <w:szCs w:val="24"/>
        </w:rPr>
        <w:t>вклуч</w:t>
      </w:r>
      <w:r>
        <w:rPr>
          <w:rFonts w:ascii="Times New Roman" w:hAnsi="Times New Roman"/>
          <w:i/>
          <w:iCs/>
          <w:color w:val="000000"/>
          <w:sz w:val="24"/>
          <w:szCs w:val="24"/>
        </w:rPr>
        <w:t>ени</w:t>
      </w:r>
      <w:r w:rsidRPr="00A60B94">
        <w:rPr>
          <w:rFonts w:ascii="Times New Roman" w:hAnsi="Times New Roman"/>
          <w:i/>
          <w:iCs/>
          <w:color w:val="000000"/>
          <w:sz w:val="24"/>
          <w:szCs w:val="24"/>
        </w:rPr>
        <w:t xml:space="preserve"> минимални стандарди за трудово право, еднаквост, здравје и безбедност при работа и недискриминација. Тие, исто така, промовираат социјална инклузија и социјална заштита, како и социјален дијалог на ниво на ЕУ.</w:t>
      </w:r>
    </w:p>
    <w:p w:rsidR="006B3D9A" w:rsidRPr="00A60B94" w:rsidRDefault="006B3D9A"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 xml:space="preserve">Земјата останува </w:t>
      </w:r>
      <w:r w:rsidRPr="00A60B94">
        <w:rPr>
          <w:rFonts w:ascii="Times New Roman" w:hAnsi="Times New Roman"/>
          <w:b/>
          <w:bCs/>
          <w:color w:val="000000"/>
          <w:sz w:val="24"/>
          <w:szCs w:val="24"/>
        </w:rPr>
        <w:t>умерено подготвена</w:t>
      </w:r>
      <w:r w:rsidRPr="00A60B94">
        <w:rPr>
          <w:rFonts w:ascii="Times New Roman" w:hAnsi="Times New Roman"/>
          <w:color w:val="000000"/>
          <w:sz w:val="24"/>
          <w:szCs w:val="24"/>
        </w:rPr>
        <w:t xml:space="preserve"> во областа на социјалната политика и вработувањето. Постигнат е </w:t>
      </w:r>
      <w:r w:rsidRPr="00A60B94">
        <w:rPr>
          <w:rFonts w:ascii="Times New Roman" w:hAnsi="Times New Roman"/>
          <w:b/>
          <w:bCs/>
          <w:color w:val="000000"/>
          <w:sz w:val="24"/>
          <w:szCs w:val="24"/>
        </w:rPr>
        <w:t>одреден напредок</w:t>
      </w:r>
      <w:r w:rsidRPr="00A60B94">
        <w:rPr>
          <w:rFonts w:ascii="Times New Roman" w:hAnsi="Times New Roman"/>
          <w:color w:val="000000"/>
          <w:sz w:val="24"/>
          <w:szCs w:val="24"/>
        </w:rPr>
        <w:t>, особено во постојаното намалување на невработеноста и зголемување</w:t>
      </w:r>
      <w:r>
        <w:rPr>
          <w:rFonts w:ascii="Times New Roman" w:hAnsi="Times New Roman"/>
          <w:color w:val="000000"/>
          <w:sz w:val="24"/>
          <w:szCs w:val="24"/>
        </w:rPr>
        <w:t>то</w:t>
      </w:r>
      <w:r w:rsidRPr="00A60B94">
        <w:rPr>
          <w:rFonts w:ascii="Times New Roman" w:hAnsi="Times New Roman"/>
          <w:color w:val="000000"/>
          <w:sz w:val="24"/>
          <w:szCs w:val="24"/>
        </w:rPr>
        <w:t xml:space="preserve"> на бенефициите за социјална помош. Шемата Гаранција за млади успешно е спроведена </w:t>
      </w:r>
      <w:r>
        <w:rPr>
          <w:rFonts w:ascii="Times New Roman" w:hAnsi="Times New Roman"/>
          <w:color w:val="000000"/>
          <w:sz w:val="24"/>
          <w:szCs w:val="24"/>
        </w:rPr>
        <w:t>низ</w:t>
      </w:r>
      <w:r w:rsidRPr="00A60B94">
        <w:rPr>
          <w:rFonts w:ascii="Times New Roman" w:hAnsi="Times New Roman"/>
          <w:color w:val="000000"/>
          <w:sz w:val="24"/>
          <w:szCs w:val="24"/>
        </w:rPr>
        <w:t xml:space="preserve"> земјата. Негативното влијание на енергетска криза е надоместено со постојана примена на мерки за социјална заштита, така што стапката на сиромаштија не се зголеми.</w:t>
      </w:r>
    </w:p>
    <w:p w:rsidR="006B3D9A" w:rsidRPr="00A60B94" w:rsidRDefault="006B3D9A"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Препораките од минатата година се делумно спроведени. Во текот на наредната година земјата особено треба:</w:t>
      </w:r>
    </w:p>
    <w:p w:rsidR="006B3D9A" w:rsidRPr="00A60B94" w:rsidRDefault="006B3D9A"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w:t>
      </w:r>
      <w:r w:rsidRPr="00A60B94">
        <w:rPr>
          <w:rFonts w:ascii="Times New Roman" w:hAnsi="Times New Roman"/>
          <w:color w:val="000000"/>
          <w:sz w:val="24"/>
          <w:szCs w:val="24"/>
        </w:rPr>
        <w:tab/>
        <w:t>да продолжи со спроведувањето на Гаранцијата за млади, како и на активните мерки за ранливите групи и да воспостави системи за соодветна евалуација на мерките;</w:t>
      </w:r>
    </w:p>
    <w:p w:rsidR="006B3D9A" w:rsidRPr="00A60B94" w:rsidRDefault="006B3D9A"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w:t>
      </w:r>
      <w:r w:rsidRPr="00A60B94">
        <w:rPr>
          <w:rFonts w:ascii="Times New Roman" w:hAnsi="Times New Roman"/>
          <w:color w:val="000000"/>
          <w:sz w:val="24"/>
          <w:szCs w:val="24"/>
        </w:rPr>
        <w:tab/>
        <w:t>да ги подобрува капацитетите на Државниот инспекторат за труд за подобро решавање на прашањата поврзани со безбедноста и здравјето при работа; да развие систем за евидентирање и следење на повредите и смртните случаи при работа и да продолжи да го зајакнува бипартитниот социјален дијалог со фокус на колективните преговори, како и улогата и активностите на социјалните партнери во приватниот сектор;</w:t>
      </w:r>
    </w:p>
    <w:p w:rsidR="006B3D9A" w:rsidRPr="00A60B94" w:rsidRDefault="006B3D9A"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w:t>
      </w:r>
      <w:r w:rsidRPr="00A60B94">
        <w:rPr>
          <w:rFonts w:ascii="Times New Roman" w:hAnsi="Times New Roman"/>
          <w:color w:val="000000"/>
          <w:sz w:val="24"/>
          <w:szCs w:val="24"/>
        </w:rPr>
        <w:tab/>
        <w:t>да заврши со воспоставувањето систем за следење, да обезбеди соодветна евалуација на социјалните услуги и да ја продолжи реформата на социјалната заштита со фокус на активирање на вработувања</w:t>
      </w:r>
      <w:r>
        <w:rPr>
          <w:rFonts w:ascii="Times New Roman" w:hAnsi="Times New Roman"/>
          <w:color w:val="000000"/>
          <w:sz w:val="24"/>
          <w:szCs w:val="24"/>
        </w:rPr>
        <w:t>та</w:t>
      </w:r>
      <w:r w:rsidRPr="00A60B94">
        <w:rPr>
          <w:rFonts w:ascii="Times New Roman" w:hAnsi="Times New Roman"/>
          <w:color w:val="000000"/>
          <w:sz w:val="24"/>
          <w:szCs w:val="24"/>
        </w:rPr>
        <w:t>.</w:t>
      </w:r>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 xml:space="preserve">Во однос на </w:t>
      </w:r>
      <w:r w:rsidRPr="00A60B94">
        <w:rPr>
          <w:rFonts w:ascii="Times New Roman" w:hAnsi="Times New Roman"/>
          <w:b/>
          <w:bCs/>
          <w:color w:val="000000"/>
          <w:sz w:val="24"/>
          <w:szCs w:val="24"/>
        </w:rPr>
        <w:t>трудовото право</w:t>
      </w:r>
      <w:r w:rsidRPr="00A60B94">
        <w:rPr>
          <w:rFonts w:ascii="Times New Roman" w:hAnsi="Times New Roman"/>
          <w:color w:val="000000"/>
          <w:sz w:val="24"/>
          <w:szCs w:val="24"/>
        </w:rPr>
        <w:t>, одржани се широки јавни консултации во земјата за новиот Закон за работни односи што допрва треба да се донесе. Од март 2023 година минималната плата се зголеми</w:t>
      </w:r>
      <w:r>
        <w:rPr>
          <w:rFonts w:ascii="Times New Roman" w:hAnsi="Times New Roman"/>
          <w:color w:val="000000"/>
          <w:sz w:val="24"/>
          <w:szCs w:val="24"/>
        </w:rPr>
        <w:t>ла</w:t>
      </w:r>
      <w:r w:rsidRPr="00A60B94">
        <w:rPr>
          <w:rFonts w:ascii="Times New Roman" w:hAnsi="Times New Roman"/>
          <w:color w:val="000000"/>
          <w:sz w:val="24"/>
          <w:szCs w:val="24"/>
        </w:rPr>
        <w:t xml:space="preserve"> за приближно 12</w:t>
      </w:r>
      <w:r>
        <w:rPr>
          <w:rFonts w:ascii="Times New Roman" w:hAnsi="Times New Roman"/>
          <w:color w:val="000000"/>
          <w:sz w:val="24"/>
          <w:szCs w:val="24"/>
        </w:rPr>
        <w:t xml:space="preserve"> </w:t>
      </w:r>
      <w:r w:rsidRPr="00A60B94">
        <w:rPr>
          <w:rFonts w:ascii="Times New Roman" w:hAnsi="Times New Roman"/>
          <w:color w:val="000000"/>
          <w:sz w:val="24"/>
          <w:szCs w:val="24"/>
        </w:rPr>
        <w:t>%. Капацитетите за спроведување на трудовите политики и законодавството не се</w:t>
      </w:r>
      <w:r w:rsidRPr="00A60B94">
        <w:rPr>
          <w:rFonts w:ascii="Times New Roman" w:hAnsi="Times New Roman"/>
          <w:sz w:val="24"/>
          <w:szCs w:val="24"/>
        </w:rPr>
        <w:t xml:space="preserve"> </w:t>
      </w:r>
      <w:r w:rsidRPr="00A60B94">
        <w:rPr>
          <w:rFonts w:ascii="Times New Roman" w:hAnsi="Times New Roman"/>
          <w:color w:val="000000"/>
          <w:sz w:val="24"/>
          <w:szCs w:val="24"/>
        </w:rPr>
        <w:t>зголеми</w:t>
      </w:r>
      <w:r>
        <w:rPr>
          <w:rFonts w:ascii="Times New Roman" w:hAnsi="Times New Roman"/>
          <w:color w:val="000000"/>
          <w:sz w:val="24"/>
          <w:szCs w:val="24"/>
        </w:rPr>
        <w:t>ле</w:t>
      </w:r>
      <w:r w:rsidRPr="00A60B94">
        <w:rPr>
          <w:rFonts w:ascii="Times New Roman" w:hAnsi="Times New Roman"/>
          <w:color w:val="000000"/>
          <w:sz w:val="24"/>
          <w:szCs w:val="24"/>
        </w:rPr>
        <w:t xml:space="preserve"> и забележано </w:t>
      </w:r>
      <w:r>
        <w:rPr>
          <w:rFonts w:ascii="Times New Roman" w:hAnsi="Times New Roman"/>
          <w:color w:val="000000"/>
          <w:sz w:val="24"/>
          <w:szCs w:val="24"/>
        </w:rPr>
        <w:t xml:space="preserve">е </w:t>
      </w:r>
      <w:r w:rsidRPr="00A60B94">
        <w:rPr>
          <w:rFonts w:ascii="Times New Roman" w:hAnsi="Times New Roman"/>
          <w:color w:val="000000"/>
          <w:sz w:val="24"/>
          <w:szCs w:val="24"/>
        </w:rPr>
        <w:t>намалување на бројот на стручен кадар во јавните институции. Како и претходната година, капацитетите на Државниот инспекторат за труд (ДИТ) с</w:t>
      </w:r>
      <w:r>
        <w:rPr>
          <w:rFonts w:ascii="Times New Roman" w:hAnsi="Times New Roman"/>
          <w:color w:val="000000"/>
          <w:sz w:val="24"/>
          <w:szCs w:val="24"/>
        </w:rPr>
        <w:t xml:space="preserve">ѐ </w:t>
      </w:r>
      <w:r w:rsidRPr="00A60B94">
        <w:rPr>
          <w:rFonts w:ascii="Times New Roman" w:hAnsi="Times New Roman"/>
          <w:color w:val="000000"/>
          <w:sz w:val="24"/>
          <w:szCs w:val="24"/>
        </w:rPr>
        <w:t>уште се недоволни. Се спроведува годишниот план за индивидуално стручно усовршување и обука за инспекторите за труд, меѓутоа капацитетите треба дополнително да се зголемат, особено во областа на безбедност и здравје при работа. ДИТ потпиша</w:t>
      </w:r>
      <w:r>
        <w:rPr>
          <w:rFonts w:ascii="Times New Roman" w:hAnsi="Times New Roman"/>
          <w:color w:val="000000"/>
          <w:sz w:val="24"/>
          <w:szCs w:val="24"/>
        </w:rPr>
        <w:t>л</w:t>
      </w:r>
      <w:r w:rsidRPr="00A60B94">
        <w:rPr>
          <w:rFonts w:ascii="Times New Roman" w:hAnsi="Times New Roman"/>
          <w:color w:val="000000"/>
          <w:sz w:val="24"/>
          <w:szCs w:val="24"/>
        </w:rPr>
        <w:t xml:space="preserve"> меморандум за соработка со Управата за јавни приходи и Министерството за внатрешни работи за да </w:t>
      </w:r>
      <w:r>
        <w:rPr>
          <w:rFonts w:ascii="Times New Roman" w:hAnsi="Times New Roman"/>
          <w:color w:val="000000"/>
          <w:sz w:val="24"/>
          <w:szCs w:val="24"/>
        </w:rPr>
        <w:t>ги</w:t>
      </w:r>
      <w:r w:rsidRPr="00A60B94">
        <w:rPr>
          <w:rFonts w:ascii="Times New Roman" w:hAnsi="Times New Roman"/>
          <w:color w:val="000000"/>
          <w:sz w:val="24"/>
          <w:szCs w:val="24"/>
        </w:rPr>
        <w:t xml:space="preserve"> подобри ефикасноста и соработката за спречување на неправилностите во трудовото право, борбата против трговијата со луѓе и трудовата експлоатација.</w:t>
      </w:r>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 xml:space="preserve">Во однос на </w:t>
      </w:r>
      <w:r w:rsidRPr="00A60B94">
        <w:rPr>
          <w:rFonts w:ascii="Times New Roman" w:hAnsi="Times New Roman"/>
          <w:b/>
          <w:bCs/>
          <w:color w:val="000000"/>
          <w:sz w:val="24"/>
          <w:szCs w:val="24"/>
        </w:rPr>
        <w:t>здравјето и безбедноста при работа</w:t>
      </w:r>
      <w:r w:rsidRPr="00A60B94">
        <w:rPr>
          <w:rFonts w:ascii="Times New Roman" w:hAnsi="Times New Roman"/>
          <w:color w:val="000000"/>
          <w:sz w:val="24"/>
          <w:szCs w:val="24"/>
        </w:rPr>
        <w:t>, продолжува</w:t>
      </w:r>
      <w:r>
        <w:rPr>
          <w:rFonts w:ascii="Times New Roman" w:hAnsi="Times New Roman"/>
          <w:color w:val="000000"/>
          <w:sz w:val="24"/>
          <w:szCs w:val="24"/>
        </w:rPr>
        <w:t>ат</w:t>
      </w:r>
      <w:r w:rsidRPr="00A60B94">
        <w:rPr>
          <w:rFonts w:ascii="Times New Roman" w:hAnsi="Times New Roman"/>
          <w:color w:val="000000"/>
          <w:sz w:val="24"/>
          <w:szCs w:val="24"/>
        </w:rPr>
        <w:t xml:space="preserve"> да важ</w:t>
      </w:r>
      <w:r>
        <w:rPr>
          <w:rFonts w:ascii="Times New Roman" w:hAnsi="Times New Roman"/>
          <w:color w:val="000000"/>
          <w:sz w:val="24"/>
          <w:szCs w:val="24"/>
        </w:rPr>
        <w:t>ат</w:t>
      </w:r>
      <w:r w:rsidRPr="00A60B94">
        <w:rPr>
          <w:rFonts w:ascii="Times New Roman" w:hAnsi="Times New Roman"/>
          <w:color w:val="000000"/>
          <w:sz w:val="24"/>
          <w:szCs w:val="24"/>
        </w:rPr>
        <w:t xml:space="preserve"> Стратегијата за безбедност и здравје при работа 2021</w:t>
      </w:r>
      <w:r>
        <w:rPr>
          <w:rFonts w:ascii="Times New Roman" w:hAnsi="Times New Roman"/>
          <w:color w:val="000000"/>
          <w:sz w:val="24"/>
          <w:szCs w:val="24"/>
        </w:rPr>
        <w:t xml:space="preserve"> </w:t>
      </w:r>
      <w:r w:rsidRPr="00A60B94">
        <w:rPr>
          <w:rFonts w:ascii="Times New Roman" w:hAnsi="Times New Roman"/>
          <w:color w:val="000000"/>
          <w:sz w:val="24"/>
          <w:szCs w:val="24"/>
        </w:rPr>
        <w:t>-</w:t>
      </w:r>
      <w:r>
        <w:rPr>
          <w:rFonts w:ascii="Times New Roman" w:hAnsi="Times New Roman"/>
          <w:color w:val="000000"/>
          <w:sz w:val="24"/>
          <w:szCs w:val="24"/>
        </w:rPr>
        <w:t xml:space="preserve"> </w:t>
      </w:r>
      <w:r w:rsidRPr="00A60B94">
        <w:rPr>
          <w:rFonts w:ascii="Times New Roman" w:hAnsi="Times New Roman"/>
          <w:color w:val="000000"/>
          <w:sz w:val="24"/>
          <w:szCs w:val="24"/>
        </w:rPr>
        <w:t xml:space="preserve">2025 година и </w:t>
      </w:r>
      <w:r>
        <w:rPr>
          <w:rFonts w:ascii="Times New Roman" w:hAnsi="Times New Roman"/>
          <w:color w:val="000000"/>
          <w:sz w:val="24"/>
          <w:szCs w:val="24"/>
        </w:rPr>
        <w:t>А</w:t>
      </w:r>
      <w:r w:rsidRPr="00A60B94">
        <w:rPr>
          <w:rFonts w:ascii="Times New Roman" w:hAnsi="Times New Roman"/>
          <w:color w:val="000000"/>
          <w:sz w:val="24"/>
          <w:szCs w:val="24"/>
        </w:rPr>
        <w:t>кцискиот план за периодот</w:t>
      </w:r>
      <w:r w:rsidR="00AF05B3">
        <w:rPr>
          <w:rFonts w:ascii="Times New Roman" w:hAnsi="Times New Roman"/>
          <w:color w:val="000000"/>
          <w:sz w:val="24"/>
          <w:szCs w:val="24"/>
        </w:rPr>
        <w:t xml:space="preserve"> </w:t>
      </w:r>
      <w:r w:rsidRPr="00A60B94">
        <w:rPr>
          <w:rFonts w:ascii="Times New Roman" w:hAnsi="Times New Roman"/>
          <w:color w:val="000000"/>
          <w:sz w:val="24"/>
          <w:szCs w:val="24"/>
        </w:rPr>
        <w:t>2021</w:t>
      </w:r>
      <w:r>
        <w:rPr>
          <w:rFonts w:ascii="Times New Roman" w:hAnsi="Times New Roman"/>
          <w:color w:val="000000"/>
          <w:sz w:val="24"/>
          <w:szCs w:val="24"/>
        </w:rPr>
        <w:t xml:space="preserve"> </w:t>
      </w:r>
      <w:r w:rsidRPr="00A60B94">
        <w:rPr>
          <w:rFonts w:ascii="Times New Roman" w:hAnsi="Times New Roman"/>
          <w:color w:val="000000"/>
          <w:sz w:val="24"/>
          <w:szCs w:val="24"/>
        </w:rPr>
        <w:t>-</w:t>
      </w:r>
      <w:r>
        <w:rPr>
          <w:rFonts w:ascii="Times New Roman" w:hAnsi="Times New Roman"/>
          <w:color w:val="000000"/>
          <w:sz w:val="24"/>
          <w:szCs w:val="24"/>
        </w:rPr>
        <w:t xml:space="preserve"> </w:t>
      </w:r>
      <w:r w:rsidRPr="00A60B94">
        <w:rPr>
          <w:rFonts w:ascii="Times New Roman" w:hAnsi="Times New Roman"/>
          <w:color w:val="000000"/>
          <w:sz w:val="24"/>
          <w:szCs w:val="24"/>
        </w:rPr>
        <w:t>2023 година. Глав</w:t>
      </w:r>
      <w:r>
        <w:rPr>
          <w:rFonts w:ascii="Times New Roman" w:hAnsi="Times New Roman"/>
          <w:color w:val="000000"/>
          <w:sz w:val="24"/>
          <w:szCs w:val="24"/>
        </w:rPr>
        <w:t>е</w:t>
      </w:r>
      <w:r w:rsidRPr="00A60B94">
        <w:rPr>
          <w:rFonts w:ascii="Times New Roman" w:hAnsi="Times New Roman"/>
          <w:color w:val="000000"/>
          <w:sz w:val="24"/>
          <w:szCs w:val="24"/>
        </w:rPr>
        <w:t>н предизвик сѐ уште е несоодветната примена на одредбите од постојниот закон. Работодав</w:t>
      </w:r>
      <w:r>
        <w:rPr>
          <w:rFonts w:ascii="Times New Roman" w:hAnsi="Times New Roman"/>
          <w:color w:val="000000"/>
          <w:sz w:val="24"/>
          <w:szCs w:val="24"/>
        </w:rPr>
        <w:t>ц</w:t>
      </w:r>
      <w:r w:rsidRPr="00A60B94">
        <w:rPr>
          <w:rFonts w:ascii="Times New Roman" w:hAnsi="Times New Roman"/>
          <w:color w:val="000000"/>
          <w:sz w:val="24"/>
          <w:szCs w:val="24"/>
        </w:rPr>
        <w:t>ите и вработените ограничено се запознаени со нивните соодветни права и обврски за здравје и безбедност при работа, а капацитетите на инспекторатите за труд дополнително треба да се зголемат. Меѓутоа, национална</w:t>
      </w:r>
      <w:r>
        <w:rPr>
          <w:rFonts w:ascii="Times New Roman" w:hAnsi="Times New Roman"/>
          <w:color w:val="000000"/>
          <w:sz w:val="24"/>
          <w:szCs w:val="24"/>
        </w:rPr>
        <w:t>та</w:t>
      </w:r>
      <w:r w:rsidRPr="00A60B94">
        <w:rPr>
          <w:rFonts w:ascii="Times New Roman" w:hAnsi="Times New Roman"/>
          <w:color w:val="000000"/>
          <w:sz w:val="24"/>
          <w:szCs w:val="24"/>
        </w:rPr>
        <w:t xml:space="preserve"> награда за добра прак</w:t>
      </w:r>
      <w:r>
        <w:rPr>
          <w:rFonts w:ascii="Times New Roman" w:hAnsi="Times New Roman"/>
          <w:color w:val="000000"/>
          <w:sz w:val="24"/>
          <w:szCs w:val="24"/>
        </w:rPr>
        <w:t>тик</w:t>
      </w:r>
      <w:r w:rsidRPr="00A60B94">
        <w:rPr>
          <w:rFonts w:ascii="Times New Roman" w:hAnsi="Times New Roman"/>
          <w:color w:val="000000"/>
          <w:sz w:val="24"/>
          <w:szCs w:val="24"/>
        </w:rPr>
        <w:t>а за безбедност и</w:t>
      </w:r>
      <w:r w:rsidRPr="00A60B94" w:rsidDel="00437779">
        <w:rPr>
          <w:rFonts w:ascii="Times New Roman" w:hAnsi="Times New Roman"/>
          <w:color w:val="000000"/>
          <w:sz w:val="24"/>
          <w:szCs w:val="24"/>
        </w:rPr>
        <w:t xml:space="preserve"> </w:t>
      </w:r>
      <w:r w:rsidRPr="00A60B94">
        <w:rPr>
          <w:rFonts w:ascii="Times New Roman" w:hAnsi="Times New Roman"/>
          <w:color w:val="000000"/>
          <w:sz w:val="24"/>
          <w:szCs w:val="24"/>
        </w:rPr>
        <w:t>здравје при работа ја подигна свеста кај вработените. ДИТ изврши</w:t>
      </w:r>
      <w:r>
        <w:rPr>
          <w:rFonts w:ascii="Times New Roman" w:hAnsi="Times New Roman"/>
          <w:color w:val="000000"/>
          <w:sz w:val="24"/>
          <w:szCs w:val="24"/>
        </w:rPr>
        <w:t>л</w:t>
      </w:r>
      <w:r w:rsidRPr="00A60B94">
        <w:rPr>
          <w:rFonts w:ascii="Times New Roman" w:hAnsi="Times New Roman"/>
          <w:color w:val="000000"/>
          <w:sz w:val="24"/>
          <w:szCs w:val="24"/>
        </w:rPr>
        <w:t xml:space="preserve"> 24.965 контроли (16.026 во областа на работните односи и 8.939 во областа на БЗР). Идентификувани се недостатоци и неправилности во 38</w:t>
      </w:r>
      <w:r>
        <w:rPr>
          <w:rFonts w:ascii="Times New Roman" w:hAnsi="Times New Roman"/>
          <w:color w:val="000000"/>
          <w:sz w:val="24"/>
          <w:szCs w:val="24"/>
        </w:rPr>
        <w:t xml:space="preserve"> </w:t>
      </w:r>
      <w:r w:rsidRPr="00A60B94">
        <w:rPr>
          <w:rFonts w:ascii="Times New Roman" w:hAnsi="Times New Roman"/>
          <w:color w:val="000000"/>
          <w:sz w:val="24"/>
          <w:szCs w:val="24"/>
        </w:rPr>
        <w:t>% од контролите</w:t>
      </w:r>
      <w:r>
        <w:rPr>
          <w:rFonts w:ascii="Times New Roman" w:hAnsi="Times New Roman"/>
          <w:color w:val="000000"/>
          <w:sz w:val="24"/>
          <w:szCs w:val="24"/>
        </w:rPr>
        <w:t xml:space="preserve"> </w:t>
      </w:r>
      <w:r w:rsidRPr="00A60B94">
        <w:rPr>
          <w:rFonts w:ascii="Times New Roman" w:hAnsi="Times New Roman"/>
          <w:color w:val="000000"/>
          <w:sz w:val="24"/>
          <w:szCs w:val="24"/>
        </w:rPr>
        <w:t>што</w:t>
      </w:r>
      <w:r>
        <w:rPr>
          <w:rFonts w:ascii="Times New Roman" w:hAnsi="Times New Roman"/>
          <w:color w:val="000000"/>
          <w:sz w:val="24"/>
          <w:szCs w:val="24"/>
        </w:rPr>
        <w:t>,</w:t>
      </w:r>
      <w:r w:rsidRPr="00A60B94">
        <w:rPr>
          <w:rFonts w:ascii="Times New Roman" w:hAnsi="Times New Roman"/>
          <w:color w:val="000000"/>
          <w:sz w:val="24"/>
          <w:szCs w:val="24"/>
        </w:rPr>
        <w:t xml:space="preserve"> главно</w:t>
      </w:r>
      <w:r>
        <w:rPr>
          <w:rFonts w:ascii="Times New Roman" w:hAnsi="Times New Roman"/>
          <w:color w:val="000000"/>
          <w:sz w:val="24"/>
          <w:szCs w:val="24"/>
        </w:rPr>
        <w:t>,</w:t>
      </w:r>
      <w:r w:rsidRPr="00A60B94">
        <w:rPr>
          <w:rFonts w:ascii="Times New Roman" w:hAnsi="Times New Roman"/>
          <w:color w:val="000000"/>
          <w:sz w:val="24"/>
          <w:szCs w:val="24"/>
        </w:rPr>
        <w:t xml:space="preserve"> резултирале со предупредувања (3.202).</w:t>
      </w:r>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 xml:space="preserve">Во однос на </w:t>
      </w:r>
      <w:r w:rsidRPr="00A60B94">
        <w:rPr>
          <w:rFonts w:ascii="Times New Roman" w:hAnsi="Times New Roman"/>
          <w:b/>
          <w:bCs/>
          <w:color w:val="000000"/>
          <w:sz w:val="24"/>
          <w:szCs w:val="24"/>
        </w:rPr>
        <w:t>социјалниот дијалог</w:t>
      </w:r>
      <w:r w:rsidRPr="00A60B94">
        <w:rPr>
          <w:rFonts w:ascii="Times New Roman" w:hAnsi="Times New Roman"/>
          <w:color w:val="000000"/>
          <w:sz w:val="24"/>
          <w:szCs w:val="24"/>
        </w:rPr>
        <w:t xml:space="preserve">, социјалните партнери се вклучиле во конструктивен трипартитен социјален дијалог на национално и локално ниво. Нивото на нивната вклученост во развојот и измените на политиките и не е доследно, што претставува сериозен предизвик. Во јули 2023 година </w:t>
      </w:r>
      <w:r>
        <w:rPr>
          <w:rFonts w:ascii="Times New Roman" w:hAnsi="Times New Roman"/>
          <w:color w:val="000000"/>
          <w:sz w:val="24"/>
          <w:szCs w:val="24"/>
        </w:rPr>
        <w:t xml:space="preserve">бил </w:t>
      </w:r>
      <w:r w:rsidRPr="00A60B94">
        <w:rPr>
          <w:rFonts w:ascii="Times New Roman" w:hAnsi="Times New Roman"/>
          <w:color w:val="000000"/>
          <w:sz w:val="24"/>
          <w:szCs w:val="24"/>
        </w:rPr>
        <w:t xml:space="preserve">потпишан нов колективен договор за вработените во јавниот сектор помеѓу синдикатите и </w:t>
      </w:r>
      <w:r w:rsidR="00625C84">
        <w:rPr>
          <w:rFonts w:ascii="Times New Roman" w:hAnsi="Times New Roman"/>
          <w:color w:val="000000"/>
          <w:sz w:val="24"/>
          <w:szCs w:val="24"/>
        </w:rPr>
        <w:t>органите</w:t>
      </w:r>
      <w:r w:rsidRPr="00A60B94">
        <w:rPr>
          <w:rFonts w:ascii="Times New Roman" w:hAnsi="Times New Roman"/>
          <w:color w:val="000000"/>
          <w:sz w:val="24"/>
          <w:szCs w:val="24"/>
        </w:rPr>
        <w:t xml:space="preserve">. Бипартитниот социјален дијалог продолжува да се соочува со предизвици поради слабото донесување и спроведување на колективните договори, што влијае врз правата на работниците и сигурноста на работните места. Мерките за поттикнување на колективни преговори и зајакнување на улогата на социјалните партнери во приватниот сектор не се доволни. Целокупното спроведување на </w:t>
      </w:r>
      <w:r>
        <w:rPr>
          <w:rFonts w:ascii="Times New Roman" w:hAnsi="Times New Roman"/>
          <w:color w:val="000000"/>
          <w:sz w:val="24"/>
          <w:szCs w:val="24"/>
        </w:rPr>
        <w:t>з</w:t>
      </w:r>
      <w:r w:rsidRPr="00A60B94">
        <w:rPr>
          <w:rFonts w:ascii="Times New Roman" w:hAnsi="Times New Roman"/>
          <w:color w:val="000000"/>
          <w:sz w:val="24"/>
          <w:szCs w:val="24"/>
        </w:rPr>
        <w:t xml:space="preserve">аконот за мирно решавање на работните спорови </w:t>
      </w:r>
      <w:r>
        <w:rPr>
          <w:rFonts w:ascii="Times New Roman" w:hAnsi="Times New Roman"/>
          <w:color w:val="000000"/>
          <w:sz w:val="24"/>
          <w:szCs w:val="24"/>
        </w:rPr>
        <w:t>и понатаму е мало</w:t>
      </w:r>
      <w:r w:rsidRPr="00A60B94">
        <w:rPr>
          <w:rFonts w:ascii="Times New Roman" w:hAnsi="Times New Roman"/>
          <w:color w:val="000000"/>
          <w:sz w:val="24"/>
          <w:szCs w:val="24"/>
        </w:rPr>
        <w:t xml:space="preserve">, </w:t>
      </w:r>
      <w:r w:rsidRPr="000828C8">
        <w:rPr>
          <w:rFonts w:ascii="Times New Roman" w:hAnsi="Times New Roman"/>
          <w:color w:val="000000"/>
          <w:sz w:val="24"/>
          <w:szCs w:val="24"/>
        </w:rPr>
        <w:t>со само пет евидентирани случаи на успешно спогодбено решавање во 2022 година</w:t>
      </w:r>
      <w:r w:rsidRPr="00A60B94">
        <w:rPr>
          <w:rFonts w:ascii="Times New Roman" w:hAnsi="Times New Roman"/>
          <w:color w:val="000000"/>
          <w:sz w:val="24"/>
          <w:szCs w:val="24"/>
        </w:rPr>
        <w:t xml:space="preserve">. Капацитетот на социјалните партнери останува </w:t>
      </w:r>
      <w:r>
        <w:rPr>
          <w:rFonts w:ascii="Times New Roman" w:hAnsi="Times New Roman"/>
          <w:color w:val="000000"/>
          <w:sz w:val="24"/>
          <w:szCs w:val="24"/>
        </w:rPr>
        <w:t>мал</w:t>
      </w:r>
      <w:r w:rsidRPr="00A60B94">
        <w:rPr>
          <w:rFonts w:ascii="Times New Roman" w:hAnsi="Times New Roman"/>
          <w:color w:val="000000"/>
          <w:sz w:val="24"/>
          <w:szCs w:val="24"/>
        </w:rPr>
        <w:t xml:space="preserve"> и влијае врз ефикасноста на социјалниот дијалог. Генерално, потребно е поголемо зајакнување на социјалниот дијалог и промовирање на колективните преговори и во јавните и во приватните сектори, вклучително и од страна на надлежните органи.</w:t>
      </w:r>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 xml:space="preserve">Во однос на </w:t>
      </w:r>
      <w:r w:rsidRPr="00A60B94">
        <w:rPr>
          <w:rFonts w:ascii="Times New Roman" w:hAnsi="Times New Roman"/>
          <w:b/>
          <w:bCs/>
          <w:color w:val="000000"/>
          <w:sz w:val="24"/>
          <w:szCs w:val="24"/>
        </w:rPr>
        <w:t>политиката за вработување</w:t>
      </w:r>
      <w:r w:rsidRPr="00A60B94">
        <w:rPr>
          <w:rFonts w:ascii="Times New Roman" w:hAnsi="Times New Roman"/>
          <w:color w:val="000000"/>
          <w:sz w:val="24"/>
          <w:szCs w:val="24"/>
        </w:rPr>
        <w:t xml:space="preserve">, моделот за прогнозирање на пазарот на труд </w:t>
      </w:r>
      <w:r>
        <w:rPr>
          <w:rFonts w:ascii="Times New Roman" w:hAnsi="Times New Roman"/>
          <w:color w:val="000000"/>
          <w:sz w:val="24"/>
          <w:szCs w:val="24"/>
        </w:rPr>
        <w:t>бил</w:t>
      </w:r>
      <w:r w:rsidRPr="00A60B94">
        <w:rPr>
          <w:rFonts w:ascii="Times New Roman" w:hAnsi="Times New Roman"/>
          <w:color w:val="000000"/>
          <w:sz w:val="24"/>
          <w:szCs w:val="24"/>
        </w:rPr>
        <w:t xml:space="preserve"> проширен со 11 дополнителни описи, при што бројот на опфатени професии се искачи</w:t>
      </w:r>
      <w:r>
        <w:rPr>
          <w:rFonts w:ascii="Times New Roman" w:hAnsi="Times New Roman"/>
          <w:color w:val="000000"/>
          <w:sz w:val="24"/>
          <w:szCs w:val="24"/>
        </w:rPr>
        <w:t>л</w:t>
      </w:r>
      <w:r w:rsidRPr="00A60B94">
        <w:rPr>
          <w:rFonts w:ascii="Times New Roman" w:hAnsi="Times New Roman"/>
          <w:color w:val="000000"/>
          <w:sz w:val="24"/>
          <w:szCs w:val="24"/>
        </w:rPr>
        <w:t xml:space="preserve"> на 85. Националната стратегија за вработување 2021-2027 година и Акцискиот план за вработување 2021</w:t>
      </w:r>
      <w:r>
        <w:rPr>
          <w:rFonts w:ascii="Times New Roman" w:hAnsi="Times New Roman"/>
          <w:color w:val="000000"/>
          <w:sz w:val="24"/>
          <w:szCs w:val="24"/>
        </w:rPr>
        <w:t xml:space="preserve"> </w:t>
      </w:r>
      <w:r w:rsidRPr="00A60B94">
        <w:rPr>
          <w:rFonts w:ascii="Times New Roman" w:hAnsi="Times New Roman"/>
          <w:color w:val="000000"/>
          <w:sz w:val="24"/>
          <w:szCs w:val="24"/>
        </w:rPr>
        <w:t>-</w:t>
      </w:r>
      <w:r>
        <w:rPr>
          <w:rFonts w:ascii="Times New Roman" w:hAnsi="Times New Roman"/>
          <w:color w:val="000000"/>
          <w:sz w:val="24"/>
          <w:szCs w:val="24"/>
        </w:rPr>
        <w:t xml:space="preserve"> </w:t>
      </w:r>
      <w:r w:rsidRPr="00A60B94">
        <w:rPr>
          <w:rFonts w:ascii="Times New Roman" w:hAnsi="Times New Roman"/>
          <w:color w:val="000000"/>
          <w:sz w:val="24"/>
          <w:szCs w:val="24"/>
        </w:rPr>
        <w:t xml:space="preserve">2023 година </w:t>
      </w:r>
      <w:r>
        <w:rPr>
          <w:rFonts w:ascii="Times New Roman" w:hAnsi="Times New Roman"/>
          <w:color w:val="000000"/>
          <w:sz w:val="24"/>
          <w:szCs w:val="24"/>
        </w:rPr>
        <w:t>важат и понатаму</w:t>
      </w:r>
      <w:r w:rsidRPr="00A60B94">
        <w:rPr>
          <w:rFonts w:ascii="Times New Roman" w:hAnsi="Times New Roman"/>
          <w:color w:val="000000"/>
          <w:sz w:val="24"/>
          <w:szCs w:val="24"/>
        </w:rPr>
        <w:t xml:space="preserve">. </w:t>
      </w:r>
      <w:r>
        <w:rPr>
          <w:rFonts w:ascii="Times New Roman" w:hAnsi="Times New Roman"/>
          <w:color w:val="000000"/>
          <w:sz w:val="24"/>
          <w:szCs w:val="24"/>
        </w:rPr>
        <w:t>Продолжуваат да важат</w:t>
      </w:r>
      <w:r w:rsidRPr="00A60B94">
        <w:rPr>
          <w:rFonts w:ascii="Times New Roman" w:hAnsi="Times New Roman"/>
          <w:color w:val="000000"/>
          <w:sz w:val="24"/>
          <w:szCs w:val="24"/>
        </w:rPr>
        <w:t xml:space="preserve"> мерките за справување со непријавената работа во рамките на Стратегијата за формализирање на неформалната економија 2018</w:t>
      </w:r>
      <w:r>
        <w:rPr>
          <w:rFonts w:ascii="Times New Roman" w:hAnsi="Times New Roman"/>
          <w:color w:val="000000"/>
          <w:sz w:val="24"/>
          <w:szCs w:val="24"/>
        </w:rPr>
        <w:t xml:space="preserve"> </w:t>
      </w:r>
      <w:r w:rsidRPr="00A60B94">
        <w:rPr>
          <w:rFonts w:ascii="Times New Roman" w:hAnsi="Times New Roman"/>
          <w:color w:val="000000"/>
          <w:sz w:val="24"/>
          <w:szCs w:val="24"/>
        </w:rPr>
        <w:t>-</w:t>
      </w:r>
      <w:r>
        <w:rPr>
          <w:rFonts w:ascii="Times New Roman" w:hAnsi="Times New Roman"/>
          <w:color w:val="000000"/>
          <w:sz w:val="24"/>
          <w:szCs w:val="24"/>
        </w:rPr>
        <w:t xml:space="preserve"> </w:t>
      </w:r>
      <w:r w:rsidRPr="00A60B94">
        <w:rPr>
          <w:rFonts w:ascii="Times New Roman" w:hAnsi="Times New Roman"/>
          <w:color w:val="000000"/>
          <w:sz w:val="24"/>
          <w:szCs w:val="24"/>
        </w:rPr>
        <w:t xml:space="preserve">2022 година. </w:t>
      </w:r>
      <w:r>
        <w:rPr>
          <w:rFonts w:ascii="Times New Roman" w:hAnsi="Times New Roman"/>
          <w:color w:val="000000"/>
          <w:sz w:val="24"/>
          <w:szCs w:val="24"/>
        </w:rPr>
        <w:t>В</w:t>
      </w:r>
      <w:r w:rsidRPr="00A60B94">
        <w:rPr>
          <w:rFonts w:ascii="Times New Roman" w:hAnsi="Times New Roman"/>
          <w:color w:val="000000"/>
          <w:sz w:val="24"/>
          <w:szCs w:val="24"/>
        </w:rPr>
        <w:t xml:space="preserve">о септември 2023 година </w:t>
      </w:r>
      <w:r w:rsidR="006143CA">
        <w:rPr>
          <w:rFonts w:ascii="Times New Roman" w:hAnsi="Times New Roman"/>
          <w:color w:val="000000"/>
          <w:sz w:val="24"/>
          <w:szCs w:val="24"/>
        </w:rPr>
        <w:t>органите</w:t>
      </w:r>
      <w:r w:rsidRPr="00A60B94">
        <w:rPr>
          <w:rFonts w:ascii="Times New Roman" w:hAnsi="Times New Roman"/>
          <w:color w:val="000000"/>
          <w:sz w:val="24"/>
          <w:szCs w:val="24"/>
        </w:rPr>
        <w:t xml:space="preserve"> ја доне</w:t>
      </w:r>
      <w:r>
        <w:rPr>
          <w:rFonts w:ascii="Times New Roman" w:hAnsi="Times New Roman"/>
          <w:color w:val="000000"/>
          <w:sz w:val="24"/>
          <w:szCs w:val="24"/>
        </w:rPr>
        <w:t>ле</w:t>
      </w:r>
      <w:r w:rsidRPr="00A60B94">
        <w:rPr>
          <w:rFonts w:ascii="Times New Roman" w:hAnsi="Times New Roman"/>
          <w:color w:val="000000"/>
          <w:sz w:val="24"/>
          <w:szCs w:val="24"/>
        </w:rPr>
        <w:t xml:space="preserve"> Стратегијата за формализирање на неформалната економија 2023</w:t>
      </w:r>
      <w:r>
        <w:rPr>
          <w:rFonts w:ascii="Times New Roman" w:hAnsi="Times New Roman"/>
          <w:color w:val="000000"/>
          <w:sz w:val="24"/>
          <w:szCs w:val="24"/>
        </w:rPr>
        <w:t xml:space="preserve"> </w:t>
      </w:r>
      <w:r w:rsidRPr="00A60B94">
        <w:rPr>
          <w:rFonts w:ascii="Times New Roman" w:hAnsi="Times New Roman"/>
          <w:color w:val="000000"/>
          <w:sz w:val="24"/>
          <w:szCs w:val="24"/>
        </w:rPr>
        <w:t>-</w:t>
      </w:r>
      <w:r>
        <w:rPr>
          <w:rFonts w:ascii="Times New Roman" w:hAnsi="Times New Roman"/>
          <w:color w:val="000000"/>
          <w:sz w:val="24"/>
          <w:szCs w:val="24"/>
        </w:rPr>
        <w:t xml:space="preserve"> </w:t>
      </w:r>
      <w:r w:rsidRPr="00A60B94">
        <w:rPr>
          <w:rFonts w:ascii="Times New Roman" w:hAnsi="Times New Roman"/>
          <w:color w:val="000000"/>
          <w:sz w:val="24"/>
          <w:szCs w:val="24"/>
        </w:rPr>
        <w:t>2027 година заедно со Акцискиот план за периодот 2023</w:t>
      </w:r>
      <w:r>
        <w:rPr>
          <w:rFonts w:ascii="Times New Roman" w:hAnsi="Times New Roman"/>
          <w:color w:val="000000"/>
          <w:sz w:val="24"/>
          <w:szCs w:val="24"/>
        </w:rPr>
        <w:t xml:space="preserve"> </w:t>
      </w:r>
      <w:r w:rsidRPr="00A60B94">
        <w:rPr>
          <w:rFonts w:ascii="Times New Roman" w:hAnsi="Times New Roman"/>
          <w:color w:val="000000"/>
          <w:sz w:val="24"/>
          <w:szCs w:val="24"/>
        </w:rPr>
        <w:t>-</w:t>
      </w:r>
      <w:r>
        <w:rPr>
          <w:rFonts w:ascii="Times New Roman" w:hAnsi="Times New Roman"/>
          <w:color w:val="000000"/>
          <w:sz w:val="24"/>
          <w:szCs w:val="24"/>
        </w:rPr>
        <w:t xml:space="preserve"> </w:t>
      </w:r>
      <w:r w:rsidRPr="00A60B94">
        <w:rPr>
          <w:rFonts w:ascii="Times New Roman" w:hAnsi="Times New Roman"/>
          <w:color w:val="000000"/>
          <w:sz w:val="24"/>
          <w:szCs w:val="24"/>
        </w:rPr>
        <w:t xml:space="preserve">2025 година. Активните мерки за вработување и зајакнатата шема за Младинската гаранција моментно не се следат, евалуираат и проценуваат во доволна мера. </w:t>
      </w:r>
      <w:r>
        <w:rPr>
          <w:rFonts w:ascii="Times New Roman" w:hAnsi="Times New Roman"/>
          <w:color w:val="000000"/>
          <w:sz w:val="24"/>
          <w:szCs w:val="24"/>
        </w:rPr>
        <w:t>Во а</w:t>
      </w:r>
      <w:r w:rsidRPr="00A95CE3">
        <w:rPr>
          <w:rFonts w:ascii="Times New Roman" w:hAnsi="Times New Roman"/>
          <w:color w:val="000000"/>
          <w:sz w:val="24"/>
          <w:szCs w:val="24"/>
        </w:rPr>
        <w:t>генција за вработување на Република Северна Македонија</w:t>
      </w:r>
      <w:r>
        <w:rPr>
          <w:rFonts w:ascii="Times New Roman" w:hAnsi="Times New Roman"/>
          <w:color w:val="000000"/>
          <w:sz w:val="24"/>
          <w:szCs w:val="24"/>
        </w:rPr>
        <w:t xml:space="preserve"> нема доволно вработени</w:t>
      </w:r>
      <w:r w:rsidRPr="00A60B94">
        <w:rPr>
          <w:rFonts w:ascii="Times New Roman" w:hAnsi="Times New Roman"/>
          <w:color w:val="000000"/>
          <w:sz w:val="24"/>
          <w:szCs w:val="24"/>
        </w:rPr>
        <w:t>.</w:t>
      </w:r>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Стапката на вработеност (од 20 до 64</w:t>
      </w:r>
      <w:r>
        <w:rPr>
          <w:rFonts w:ascii="Times New Roman" w:hAnsi="Times New Roman"/>
          <w:color w:val="000000"/>
          <w:sz w:val="24"/>
          <w:szCs w:val="24"/>
        </w:rPr>
        <w:t xml:space="preserve"> </w:t>
      </w:r>
      <w:r w:rsidRPr="00A60B94">
        <w:rPr>
          <w:rFonts w:ascii="Times New Roman" w:hAnsi="Times New Roman"/>
          <w:color w:val="000000"/>
          <w:sz w:val="24"/>
          <w:szCs w:val="24"/>
        </w:rPr>
        <w:t>годи</w:t>
      </w:r>
      <w:r>
        <w:rPr>
          <w:rFonts w:ascii="Times New Roman" w:hAnsi="Times New Roman"/>
          <w:color w:val="000000"/>
          <w:sz w:val="24"/>
          <w:szCs w:val="24"/>
        </w:rPr>
        <w:t>ни</w:t>
      </w:r>
      <w:r w:rsidRPr="00A60B94">
        <w:rPr>
          <w:rFonts w:ascii="Times New Roman" w:hAnsi="Times New Roman"/>
          <w:color w:val="000000"/>
          <w:sz w:val="24"/>
          <w:szCs w:val="24"/>
        </w:rPr>
        <w:t xml:space="preserve"> возраст) во четвртиот квартал од 2022 година изнесува</w:t>
      </w:r>
      <w:r>
        <w:rPr>
          <w:rFonts w:ascii="Times New Roman" w:hAnsi="Times New Roman"/>
          <w:color w:val="000000"/>
          <w:sz w:val="24"/>
          <w:szCs w:val="24"/>
        </w:rPr>
        <w:t>ла</w:t>
      </w:r>
      <w:r w:rsidRPr="00A60B94">
        <w:rPr>
          <w:rFonts w:ascii="Times New Roman" w:hAnsi="Times New Roman"/>
          <w:color w:val="000000"/>
          <w:sz w:val="24"/>
          <w:szCs w:val="24"/>
        </w:rPr>
        <w:t xml:space="preserve"> 61,8</w:t>
      </w:r>
      <w:r>
        <w:rPr>
          <w:rFonts w:ascii="Times New Roman" w:hAnsi="Times New Roman"/>
          <w:color w:val="000000"/>
          <w:sz w:val="24"/>
          <w:szCs w:val="24"/>
        </w:rPr>
        <w:t xml:space="preserve"> </w:t>
      </w:r>
      <w:r w:rsidRPr="00A60B94">
        <w:rPr>
          <w:rFonts w:ascii="Times New Roman" w:hAnsi="Times New Roman"/>
          <w:color w:val="000000"/>
          <w:sz w:val="24"/>
          <w:szCs w:val="24"/>
        </w:rPr>
        <w:t>% за целото население. Стапката на невработеност дополнително се намали</w:t>
      </w:r>
      <w:r>
        <w:rPr>
          <w:rFonts w:ascii="Times New Roman" w:hAnsi="Times New Roman"/>
          <w:color w:val="000000"/>
          <w:sz w:val="24"/>
          <w:szCs w:val="24"/>
        </w:rPr>
        <w:t>ла</w:t>
      </w:r>
      <w:r w:rsidRPr="00A60B94">
        <w:rPr>
          <w:rFonts w:ascii="Times New Roman" w:hAnsi="Times New Roman"/>
          <w:color w:val="000000"/>
          <w:sz w:val="24"/>
          <w:szCs w:val="24"/>
        </w:rPr>
        <w:t xml:space="preserve"> на 13,7</w:t>
      </w:r>
      <w:r>
        <w:rPr>
          <w:rFonts w:ascii="Times New Roman" w:hAnsi="Times New Roman"/>
          <w:color w:val="000000"/>
          <w:sz w:val="24"/>
          <w:szCs w:val="24"/>
        </w:rPr>
        <w:t xml:space="preserve"> </w:t>
      </w:r>
      <w:r w:rsidRPr="00A60B94">
        <w:rPr>
          <w:rFonts w:ascii="Times New Roman" w:hAnsi="Times New Roman"/>
          <w:color w:val="000000"/>
          <w:sz w:val="24"/>
          <w:szCs w:val="24"/>
        </w:rPr>
        <w:t>% во четвртиот квартал од 2022 година. Стапката на невработеност на жените се зголеми</w:t>
      </w:r>
      <w:r>
        <w:rPr>
          <w:rFonts w:ascii="Times New Roman" w:hAnsi="Times New Roman"/>
          <w:color w:val="000000"/>
          <w:sz w:val="24"/>
          <w:szCs w:val="24"/>
        </w:rPr>
        <w:t>ла</w:t>
      </w:r>
      <w:r w:rsidRPr="00A60B94">
        <w:rPr>
          <w:rFonts w:ascii="Times New Roman" w:hAnsi="Times New Roman"/>
          <w:color w:val="000000"/>
          <w:sz w:val="24"/>
          <w:szCs w:val="24"/>
        </w:rPr>
        <w:t xml:space="preserve"> за 3,2</w:t>
      </w:r>
      <w:r>
        <w:rPr>
          <w:rFonts w:ascii="Times New Roman" w:hAnsi="Times New Roman"/>
          <w:color w:val="000000"/>
          <w:sz w:val="24"/>
          <w:szCs w:val="24"/>
        </w:rPr>
        <w:t xml:space="preserve"> </w:t>
      </w:r>
      <w:r w:rsidRPr="00A60B94">
        <w:rPr>
          <w:rFonts w:ascii="Times New Roman" w:hAnsi="Times New Roman"/>
          <w:color w:val="000000"/>
          <w:sz w:val="24"/>
          <w:szCs w:val="24"/>
        </w:rPr>
        <w:t>% (51,8</w:t>
      </w:r>
      <w:r>
        <w:rPr>
          <w:rFonts w:ascii="Times New Roman" w:hAnsi="Times New Roman"/>
          <w:color w:val="000000"/>
          <w:sz w:val="24"/>
          <w:szCs w:val="24"/>
        </w:rPr>
        <w:t xml:space="preserve"> </w:t>
      </w:r>
      <w:r w:rsidRPr="00A60B94">
        <w:rPr>
          <w:rFonts w:ascii="Times New Roman" w:hAnsi="Times New Roman"/>
          <w:color w:val="000000"/>
          <w:sz w:val="24"/>
          <w:szCs w:val="24"/>
        </w:rPr>
        <w:t>% на возраст од 15 до 24 години). Вработеноста на младите (на возраст од 15 до 24 години) остана</w:t>
      </w:r>
      <w:r>
        <w:rPr>
          <w:rFonts w:ascii="Times New Roman" w:hAnsi="Times New Roman"/>
          <w:color w:val="000000"/>
          <w:sz w:val="24"/>
          <w:szCs w:val="24"/>
        </w:rPr>
        <w:t>ла</w:t>
      </w:r>
      <w:r w:rsidRPr="00A60B94">
        <w:rPr>
          <w:rFonts w:ascii="Times New Roman" w:hAnsi="Times New Roman"/>
          <w:color w:val="000000"/>
          <w:sz w:val="24"/>
          <w:szCs w:val="24"/>
        </w:rPr>
        <w:t xml:space="preserve"> на 18,3</w:t>
      </w:r>
      <w:r>
        <w:rPr>
          <w:rFonts w:ascii="Times New Roman" w:hAnsi="Times New Roman"/>
          <w:color w:val="000000"/>
          <w:sz w:val="24"/>
          <w:szCs w:val="24"/>
        </w:rPr>
        <w:t xml:space="preserve"> </w:t>
      </w:r>
      <w:r w:rsidRPr="00A60B94">
        <w:rPr>
          <w:rFonts w:ascii="Times New Roman" w:hAnsi="Times New Roman"/>
          <w:color w:val="000000"/>
          <w:sz w:val="24"/>
          <w:szCs w:val="24"/>
        </w:rPr>
        <w:t>%, а невработеноста на младите се намали</w:t>
      </w:r>
      <w:r>
        <w:rPr>
          <w:rFonts w:ascii="Times New Roman" w:hAnsi="Times New Roman"/>
          <w:color w:val="000000"/>
          <w:sz w:val="24"/>
          <w:szCs w:val="24"/>
        </w:rPr>
        <w:t>ла</w:t>
      </w:r>
      <w:r w:rsidRPr="00A60B94">
        <w:rPr>
          <w:rFonts w:ascii="Times New Roman" w:hAnsi="Times New Roman"/>
          <w:color w:val="000000"/>
          <w:sz w:val="24"/>
          <w:szCs w:val="24"/>
        </w:rPr>
        <w:t xml:space="preserve"> на 31,8</w:t>
      </w:r>
      <w:r>
        <w:rPr>
          <w:rFonts w:ascii="Times New Roman" w:hAnsi="Times New Roman"/>
          <w:color w:val="000000"/>
          <w:sz w:val="24"/>
          <w:szCs w:val="24"/>
        </w:rPr>
        <w:t xml:space="preserve"> </w:t>
      </w:r>
      <w:r w:rsidRPr="00A60B94">
        <w:rPr>
          <w:rFonts w:ascii="Times New Roman" w:hAnsi="Times New Roman"/>
          <w:color w:val="000000"/>
          <w:sz w:val="24"/>
          <w:szCs w:val="24"/>
        </w:rPr>
        <w:t>% во четвртиот квартал од 2022 година, во споредба со 34,9</w:t>
      </w:r>
      <w:r>
        <w:rPr>
          <w:rFonts w:ascii="Times New Roman" w:hAnsi="Times New Roman"/>
          <w:color w:val="000000"/>
          <w:sz w:val="24"/>
          <w:szCs w:val="24"/>
        </w:rPr>
        <w:t xml:space="preserve"> </w:t>
      </w:r>
      <w:r w:rsidRPr="00A60B94">
        <w:rPr>
          <w:rFonts w:ascii="Times New Roman" w:hAnsi="Times New Roman"/>
          <w:color w:val="000000"/>
          <w:sz w:val="24"/>
          <w:szCs w:val="24"/>
        </w:rPr>
        <w:t xml:space="preserve">% во четвртиот квартал од 2021 година. Шемата Гаранција за млади останува главна мерка за справување со невработеноста кај младите. Во март 2023 година </w:t>
      </w:r>
      <w:r>
        <w:rPr>
          <w:rFonts w:ascii="Times New Roman" w:hAnsi="Times New Roman"/>
          <w:color w:val="000000"/>
          <w:sz w:val="24"/>
          <w:szCs w:val="24"/>
        </w:rPr>
        <w:t xml:space="preserve">бил </w:t>
      </w:r>
      <w:r w:rsidRPr="00A60B94">
        <w:rPr>
          <w:rFonts w:ascii="Times New Roman" w:hAnsi="Times New Roman"/>
          <w:color w:val="000000"/>
          <w:sz w:val="24"/>
          <w:szCs w:val="24"/>
        </w:rPr>
        <w:t xml:space="preserve">донесен нов план за спроведување на Гаранцијата за млади 2023-2026 година од страна на </w:t>
      </w:r>
      <w:r w:rsidR="00EF10B7">
        <w:rPr>
          <w:rFonts w:ascii="Times New Roman" w:hAnsi="Times New Roman"/>
          <w:color w:val="000000"/>
          <w:sz w:val="24"/>
          <w:szCs w:val="24"/>
        </w:rPr>
        <w:t>органите</w:t>
      </w:r>
      <w:r w:rsidRPr="00A60B94">
        <w:rPr>
          <w:rFonts w:ascii="Times New Roman" w:hAnsi="Times New Roman"/>
          <w:color w:val="000000"/>
          <w:sz w:val="24"/>
          <w:szCs w:val="24"/>
        </w:rPr>
        <w:t>. Во 2022 година повеќе од 20.000 млади луѓе учествувале во шемата, а 43</w:t>
      </w:r>
      <w:r>
        <w:rPr>
          <w:rFonts w:ascii="Times New Roman" w:hAnsi="Times New Roman"/>
          <w:color w:val="000000"/>
          <w:sz w:val="24"/>
          <w:szCs w:val="24"/>
        </w:rPr>
        <w:t xml:space="preserve"> </w:t>
      </w:r>
      <w:r w:rsidRPr="00A60B94">
        <w:rPr>
          <w:rFonts w:ascii="Times New Roman" w:hAnsi="Times New Roman"/>
          <w:color w:val="000000"/>
          <w:sz w:val="24"/>
          <w:szCs w:val="24"/>
        </w:rPr>
        <w:t>% од нив успешно нашле можности за вработување или обука. Во шемата учествувале 969 Роми, од кои 148 се вработиле.</w:t>
      </w:r>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 xml:space="preserve">Во однос на учеството во </w:t>
      </w:r>
      <w:r w:rsidRPr="00A60B94">
        <w:rPr>
          <w:rFonts w:ascii="Times New Roman" w:hAnsi="Times New Roman"/>
          <w:b/>
          <w:bCs/>
          <w:color w:val="000000"/>
          <w:sz w:val="24"/>
          <w:szCs w:val="24"/>
        </w:rPr>
        <w:t>Европскиот социјален фонд</w:t>
      </w:r>
      <w:r w:rsidRPr="00A60B94">
        <w:rPr>
          <w:rFonts w:ascii="Times New Roman" w:hAnsi="Times New Roman"/>
          <w:color w:val="000000"/>
          <w:sz w:val="24"/>
          <w:szCs w:val="24"/>
        </w:rPr>
        <w:t xml:space="preserve">, важно е да се осигури дека државните тела ги имаат потребните капацитети за индиректно управување со системот на земјата корисничка. </w:t>
      </w:r>
      <w:r w:rsidRPr="00A60B94">
        <w:rPr>
          <w:rFonts w:ascii="Times New Roman" w:hAnsi="Times New Roman"/>
          <w:i/>
          <w:iCs/>
          <w:color w:val="000000"/>
          <w:sz w:val="24"/>
          <w:szCs w:val="24"/>
        </w:rPr>
        <w:t>(</w:t>
      </w:r>
      <w:r>
        <w:rPr>
          <w:rFonts w:ascii="Times New Roman" w:hAnsi="Times New Roman"/>
          <w:i/>
          <w:iCs/>
          <w:color w:val="000000"/>
          <w:sz w:val="24"/>
          <w:szCs w:val="24"/>
        </w:rPr>
        <w:t>в</w:t>
      </w:r>
      <w:r w:rsidRPr="00A60B94">
        <w:rPr>
          <w:rFonts w:ascii="Times New Roman" w:hAnsi="Times New Roman"/>
          <w:i/>
          <w:iCs/>
          <w:color w:val="000000"/>
          <w:sz w:val="24"/>
          <w:szCs w:val="24"/>
        </w:rPr>
        <w:t>идете и Поглавје 22 - Регионална политика и координација на структурните инструменти).</w:t>
      </w:r>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 xml:space="preserve">Постигнат е напредок во областа на </w:t>
      </w:r>
      <w:r w:rsidRPr="00A60B94">
        <w:rPr>
          <w:rFonts w:ascii="Times New Roman" w:hAnsi="Times New Roman"/>
          <w:b/>
          <w:bCs/>
          <w:color w:val="000000"/>
          <w:sz w:val="24"/>
          <w:szCs w:val="24"/>
        </w:rPr>
        <w:t xml:space="preserve">социјалната инклузија и заштита </w:t>
      </w:r>
      <w:r w:rsidRPr="00A60B94">
        <w:rPr>
          <w:rFonts w:ascii="Times New Roman" w:hAnsi="Times New Roman"/>
          <w:color w:val="000000"/>
          <w:sz w:val="24"/>
          <w:szCs w:val="24"/>
        </w:rPr>
        <w:t xml:space="preserve">и </w:t>
      </w:r>
      <w:r>
        <w:rPr>
          <w:rFonts w:ascii="Times New Roman" w:hAnsi="Times New Roman"/>
          <w:color w:val="000000"/>
          <w:sz w:val="24"/>
          <w:szCs w:val="24"/>
        </w:rPr>
        <w:t>во</w:t>
      </w:r>
      <w:r w:rsidRPr="00A60B94">
        <w:rPr>
          <w:rFonts w:ascii="Times New Roman" w:hAnsi="Times New Roman"/>
          <w:color w:val="000000"/>
          <w:sz w:val="24"/>
          <w:szCs w:val="24"/>
        </w:rPr>
        <w:t xml:space="preserve"> минимизирање</w:t>
      </w:r>
      <w:r>
        <w:rPr>
          <w:rFonts w:ascii="Times New Roman" w:hAnsi="Times New Roman"/>
          <w:color w:val="000000"/>
          <w:sz w:val="24"/>
          <w:szCs w:val="24"/>
        </w:rPr>
        <w:t>то</w:t>
      </w:r>
      <w:r w:rsidRPr="00A60B94">
        <w:rPr>
          <w:rFonts w:ascii="Times New Roman" w:hAnsi="Times New Roman"/>
          <w:color w:val="000000"/>
          <w:sz w:val="24"/>
          <w:szCs w:val="24"/>
        </w:rPr>
        <w:t xml:space="preserve"> на ефектите од пандемијата и енергетската криза. Воведени се дополнителни субвенции, овозможувајќи сеопфатна покриеност за луѓето на кои им </w:t>
      </w:r>
      <w:r>
        <w:rPr>
          <w:rFonts w:ascii="Times New Roman" w:hAnsi="Times New Roman"/>
          <w:color w:val="000000"/>
          <w:sz w:val="24"/>
          <w:szCs w:val="24"/>
        </w:rPr>
        <w:t>била</w:t>
      </w:r>
      <w:r w:rsidRPr="00A60B94">
        <w:rPr>
          <w:rFonts w:ascii="Times New Roman" w:hAnsi="Times New Roman"/>
          <w:color w:val="000000"/>
          <w:sz w:val="24"/>
          <w:szCs w:val="24"/>
        </w:rPr>
        <w:t xml:space="preserve"> потребна помош. Проширен е опсегот на </w:t>
      </w:r>
      <w:r>
        <w:rPr>
          <w:rFonts w:ascii="Times New Roman" w:hAnsi="Times New Roman"/>
          <w:color w:val="000000"/>
          <w:sz w:val="24"/>
          <w:szCs w:val="24"/>
        </w:rPr>
        <w:t>гаран</w:t>
      </w:r>
      <w:r w:rsidRPr="00A60B94">
        <w:rPr>
          <w:rFonts w:ascii="Times New Roman" w:hAnsi="Times New Roman"/>
          <w:color w:val="000000"/>
          <w:sz w:val="24"/>
          <w:szCs w:val="24"/>
        </w:rPr>
        <w:t>тираната минимална помош (ГМП) и опфаќа 35.748 домаќинства. Исто така, 31,7</w:t>
      </w:r>
      <w:r>
        <w:rPr>
          <w:rFonts w:ascii="Times New Roman" w:hAnsi="Times New Roman"/>
          <w:color w:val="000000"/>
          <w:sz w:val="24"/>
          <w:szCs w:val="24"/>
        </w:rPr>
        <w:t xml:space="preserve"> </w:t>
      </w:r>
      <w:r w:rsidRPr="00A60B94">
        <w:rPr>
          <w:rFonts w:ascii="Times New Roman" w:hAnsi="Times New Roman"/>
          <w:color w:val="000000"/>
          <w:sz w:val="24"/>
          <w:szCs w:val="24"/>
        </w:rPr>
        <w:t>% од примателите на ГМП примале и детски додаток, а 21,2</w:t>
      </w:r>
      <w:r>
        <w:rPr>
          <w:rFonts w:ascii="Times New Roman" w:hAnsi="Times New Roman"/>
          <w:color w:val="000000"/>
          <w:sz w:val="24"/>
          <w:szCs w:val="24"/>
        </w:rPr>
        <w:t xml:space="preserve"> </w:t>
      </w:r>
      <w:r w:rsidRPr="00A60B94">
        <w:rPr>
          <w:rFonts w:ascii="Times New Roman" w:hAnsi="Times New Roman"/>
          <w:color w:val="000000"/>
          <w:sz w:val="24"/>
          <w:szCs w:val="24"/>
        </w:rPr>
        <w:t>% додаток за образование. Назначени се координатори за олеснување на комуникацијата помеѓу агенциите за вработување и центрите за социјална работа и изготвени се насоки за поддршка на поединечните планови за активирање. Донесена е Националната програма за развој на социјалната заштита 2022</w:t>
      </w:r>
      <w:r>
        <w:rPr>
          <w:rFonts w:ascii="Times New Roman" w:hAnsi="Times New Roman"/>
          <w:color w:val="000000"/>
          <w:sz w:val="24"/>
          <w:szCs w:val="24"/>
        </w:rPr>
        <w:t xml:space="preserve"> - </w:t>
      </w:r>
      <w:r w:rsidRPr="00A60B94">
        <w:rPr>
          <w:rFonts w:ascii="Times New Roman" w:hAnsi="Times New Roman"/>
          <w:color w:val="000000"/>
          <w:sz w:val="24"/>
          <w:szCs w:val="24"/>
        </w:rPr>
        <w:t>2032 година заедно со патоказ за идните подобрувања. Новата Стратегија за правата на лицата со попреченост 2023</w:t>
      </w:r>
      <w:r>
        <w:rPr>
          <w:rFonts w:ascii="Times New Roman" w:hAnsi="Times New Roman"/>
          <w:color w:val="000000"/>
          <w:sz w:val="24"/>
          <w:szCs w:val="24"/>
        </w:rPr>
        <w:t xml:space="preserve"> </w:t>
      </w:r>
      <w:r w:rsidRPr="00A60B94">
        <w:rPr>
          <w:rFonts w:ascii="Times New Roman" w:hAnsi="Times New Roman"/>
          <w:color w:val="000000"/>
          <w:sz w:val="24"/>
          <w:szCs w:val="24"/>
        </w:rPr>
        <w:t>-</w:t>
      </w:r>
      <w:r>
        <w:rPr>
          <w:rFonts w:ascii="Times New Roman" w:hAnsi="Times New Roman"/>
          <w:color w:val="000000"/>
          <w:sz w:val="24"/>
          <w:szCs w:val="24"/>
        </w:rPr>
        <w:t xml:space="preserve"> </w:t>
      </w:r>
      <w:r w:rsidRPr="00A60B94">
        <w:rPr>
          <w:rFonts w:ascii="Times New Roman" w:hAnsi="Times New Roman"/>
          <w:color w:val="000000"/>
          <w:sz w:val="24"/>
          <w:szCs w:val="24"/>
        </w:rPr>
        <w:t xml:space="preserve">2030 година и </w:t>
      </w:r>
      <w:r>
        <w:rPr>
          <w:rFonts w:ascii="Times New Roman" w:hAnsi="Times New Roman"/>
          <w:color w:val="000000"/>
          <w:sz w:val="24"/>
          <w:szCs w:val="24"/>
        </w:rPr>
        <w:t>А</w:t>
      </w:r>
      <w:r w:rsidRPr="00A60B94">
        <w:rPr>
          <w:rFonts w:ascii="Times New Roman" w:hAnsi="Times New Roman"/>
          <w:color w:val="000000"/>
          <w:sz w:val="24"/>
          <w:szCs w:val="24"/>
        </w:rPr>
        <w:t>кциски</w:t>
      </w:r>
      <w:r>
        <w:rPr>
          <w:rFonts w:ascii="Times New Roman" w:hAnsi="Times New Roman"/>
          <w:color w:val="000000"/>
          <w:sz w:val="24"/>
          <w:szCs w:val="24"/>
        </w:rPr>
        <w:t xml:space="preserve">от план </w:t>
      </w:r>
      <w:r w:rsidRPr="00A60B94">
        <w:rPr>
          <w:rFonts w:ascii="Times New Roman" w:hAnsi="Times New Roman"/>
          <w:color w:val="000000"/>
          <w:sz w:val="24"/>
          <w:szCs w:val="24"/>
        </w:rPr>
        <w:t>2023</w:t>
      </w:r>
      <w:r>
        <w:rPr>
          <w:rFonts w:ascii="Times New Roman" w:hAnsi="Times New Roman"/>
          <w:color w:val="000000"/>
          <w:sz w:val="24"/>
          <w:szCs w:val="24"/>
        </w:rPr>
        <w:t xml:space="preserve"> </w:t>
      </w:r>
      <w:r w:rsidRPr="00A60B94">
        <w:rPr>
          <w:rFonts w:ascii="Times New Roman" w:hAnsi="Times New Roman"/>
          <w:color w:val="000000"/>
          <w:sz w:val="24"/>
          <w:szCs w:val="24"/>
        </w:rPr>
        <w:t>-</w:t>
      </w:r>
      <w:r>
        <w:rPr>
          <w:rFonts w:ascii="Times New Roman" w:hAnsi="Times New Roman"/>
          <w:color w:val="000000"/>
          <w:sz w:val="24"/>
          <w:szCs w:val="24"/>
        </w:rPr>
        <w:t xml:space="preserve"> </w:t>
      </w:r>
      <w:r w:rsidRPr="00A60B94">
        <w:rPr>
          <w:rFonts w:ascii="Times New Roman" w:hAnsi="Times New Roman"/>
          <w:color w:val="000000"/>
          <w:sz w:val="24"/>
          <w:szCs w:val="24"/>
        </w:rPr>
        <w:t>2025 година допрва треба да се донесат. Потребно е да се стави во функција софтверот за интегрирање на паричните надоместоци и услугите за социјална заштита. Децентрализацијата на социјалната помош останува на умерено ниво. Достапноста на јавните услуги</w:t>
      </w:r>
      <w:r>
        <w:rPr>
          <w:rFonts w:ascii="Times New Roman" w:hAnsi="Times New Roman"/>
          <w:color w:val="000000"/>
          <w:sz w:val="24"/>
          <w:szCs w:val="24"/>
        </w:rPr>
        <w:t>,</w:t>
      </w:r>
      <w:r w:rsidRPr="00A60B94">
        <w:rPr>
          <w:rFonts w:ascii="Times New Roman" w:hAnsi="Times New Roman"/>
          <w:color w:val="000000"/>
          <w:sz w:val="24"/>
          <w:szCs w:val="24"/>
        </w:rPr>
        <w:t xml:space="preserve"> како што се социоздравствените, вработувањето, стручното образование, а особено специјализираните услуги за лицата со попреченост и Ромите, остануваат ограничени. Вработувањето на Ромите, долгорочно невработените и нискоквалификуваните, како и лицата со попреченост е поддржано со шемата за гарантирана минимална помош воведена со Законот за социјална заштита.</w:t>
      </w:r>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 xml:space="preserve">Во рамките на Националната стратегија за </w:t>
      </w:r>
      <w:r w:rsidRPr="00A60B94">
        <w:rPr>
          <w:rFonts w:ascii="Times New Roman" w:hAnsi="Times New Roman"/>
          <w:b/>
          <w:bCs/>
          <w:color w:val="000000"/>
          <w:sz w:val="24"/>
          <w:szCs w:val="24"/>
        </w:rPr>
        <w:t xml:space="preserve">деинституционализација </w:t>
      </w:r>
      <w:r w:rsidRPr="00A60B94">
        <w:rPr>
          <w:rFonts w:ascii="Times New Roman" w:hAnsi="Times New Roman"/>
          <w:color w:val="000000"/>
          <w:sz w:val="24"/>
          <w:szCs w:val="24"/>
        </w:rPr>
        <w:t>вкупно 57 станбени единици се ставени во употреба заклучно со јуни 2023 година, со што се обезбедува поддршка за живот на децата и лицата со попреченост. Бројот на деца под 18 години во институционална грижа и понатаму е стабилен. Донесувањето на методологијата за лиценцирање и утврдување на трошоците за социјални услуги го овозможи воспоставувањето и подобрувањето на услуги</w:t>
      </w:r>
      <w:r>
        <w:rPr>
          <w:rFonts w:ascii="Times New Roman" w:hAnsi="Times New Roman"/>
          <w:color w:val="000000"/>
          <w:sz w:val="24"/>
          <w:szCs w:val="24"/>
        </w:rPr>
        <w:t>те,</w:t>
      </w:r>
      <w:r w:rsidRPr="00A60B94">
        <w:rPr>
          <w:rFonts w:ascii="Times New Roman" w:hAnsi="Times New Roman"/>
          <w:color w:val="000000"/>
          <w:sz w:val="24"/>
          <w:szCs w:val="24"/>
        </w:rPr>
        <w:t xml:space="preserve"> како што се домашна нега, лична помош, издршка и нега од друго лице. Моментно се достапни вкупно 85 граѓански организации и приватни даватели на услуги за социјална помош за задоволување на разните потреби на поединците.</w:t>
      </w:r>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 xml:space="preserve">За </w:t>
      </w:r>
      <w:r w:rsidRPr="00A60B94">
        <w:rPr>
          <w:rFonts w:ascii="Times New Roman" w:hAnsi="Times New Roman"/>
          <w:b/>
          <w:bCs/>
          <w:color w:val="000000"/>
          <w:sz w:val="24"/>
          <w:szCs w:val="24"/>
        </w:rPr>
        <w:t>недискриминацијата во вработувањето и социјалната политика</w:t>
      </w:r>
      <w:r w:rsidRPr="00A60B94">
        <w:rPr>
          <w:rFonts w:ascii="Times New Roman" w:hAnsi="Times New Roman"/>
          <w:color w:val="000000"/>
          <w:sz w:val="24"/>
          <w:szCs w:val="24"/>
        </w:rPr>
        <w:t xml:space="preserve"> постои сеопфатна законска рамка. Меѓутоа, Законот за спречување и заштита од дискриминација мора целосно да се усогласи со </w:t>
      </w:r>
      <w:r w:rsidRPr="000F40B1">
        <w:rPr>
          <w:rFonts w:ascii="Times New Roman" w:hAnsi="Times New Roman"/>
          <w:color w:val="000000"/>
          <w:sz w:val="24"/>
          <w:szCs w:val="24"/>
        </w:rPr>
        <w:t>антидискриминациските</w:t>
      </w:r>
      <w:r>
        <w:rPr>
          <w:rFonts w:ascii="Times New Roman" w:hAnsi="Times New Roman"/>
          <w:color w:val="000000"/>
          <w:sz w:val="24"/>
          <w:szCs w:val="24"/>
        </w:rPr>
        <w:t xml:space="preserve"> </w:t>
      </w:r>
      <w:r w:rsidRPr="00A60B94">
        <w:rPr>
          <w:rFonts w:ascii="Times New Roman" w:hAnsi="Times New Roman"/>
          <w:color w:val="000000"/>
          <w:sz w:val="24"/>
          <w:szCs w:val="24"/>
        </w:rPr>
        <w:t>одредби на ЕУ.</w:t>
      </w:r>
      <w:r>
        <w:rPr>
          <w:rFonts w:ascii="Times New Roman" w:hAnsi="Times New Roman"/>
          <w:color w:val="000000"/>
          <w:sz w:val="24"/>
          <w:szCs w:val="24"/>
        </w:rPr>
        <w:t xml:space="preserve"> О</w:t>
      </w:r>
      <w:r w:rsidRPr="00A60B94">
        <w:rPr>
          <w:rFonts w:ascii="Times New Roman" w:hAnsi="Times New Roman"/>
          <w:color w:val="000000"/>
          <w:sz w:val="24"/>
          <w:szCs w:val="24"/>
        </w:rPr>
        <w:t>д предметите на кои работеше Комисијата за спречување и заштита од дискриминација</w:t>
      </w:r>
      <w:r>
        <w:rPr>
          <w:rFonts w:ascii="Times New Roman" w:hAnsi="Times New Roman"/>
          <w:color w:val="000000"/>
          <w:sz w:val="24"/>
          <w:szCs w:val="24"/>
        </w:rPr>
        <w:t>,</w:t>
      </w:r>
      <w:r w:rsidRPr="00A60B94">
        <w:rPr>
          <w:rFonts w:ascii="Times New Roman" w:hAnsi="Times New Roman"/>
          <w:color w:val="000000"/>
          <w:sz w:val="24"/>
          <w:szCs w:val="24"/>
        </w:rPr>
        <w:t xml:space="preserve"> 53,5</w:t>
      </w:r>
      <w:r>
        <w:rPr>
          <w:rFonts w:ascii="Times New Roman" w:hAnsi="Times New Roman"/>
          <w:color w:val="000000"/>
          <w:sz w:val="24"/>
          <w:szCs w:val="24"/>
        </w:rPr>
        <w:t xml:space="preserve"> </w:t>
      </w:r>
      <w:r w:rsidRPr="00A60B94">
        <w:rPr>
          <w:rFonts w:ascii="Times New Roman" w:hAnsi="Times New Roman"/>
          <w:color w:val="000000"/>
          <w:sz w:val="24"/>
          <w:szCs w:val="24"/>
        </w:rPr>
        <w:t>% се однесуваа на вработувањето и работните односи (</w:t>
      </w:r>
      <w:r>
        <w:rPr>
          <w:rFonts w:ascii="Times New Roman" w:hAnsi="Times New Roman"/>
          <w:i/>
          <w:iCs/>
          <w:color w:val="000000"/>
          <w:sz w:val="24"/>
          <w:szCs w:val="24"/>
        </w:rPr>
        <w:t>в</w:t>
      </w:r>
      <w:r w:rsidRPr="00A60B94">
        <w:rPr>
          <w:rFonts w:ascii="Times New Roman" w:hAnsi="Times New Roman"/>
          <w:i/>
          <w:iCs/>
          <w:color w:val="000000"/>
          <w:sz w:val="24"/>
          <w:szCs w:val="24"/>
        </w:rPr>
        <w:t xml:space="preserve">идете и Поглавје 23 - </w:t>
      </w:r>
      <w:r w:rsidR="00794C13">
        <w:rPr>
          <w:rFonts w:ascii="Times New Roman" w:hAnsi="Times New Roman"/>
          <w:i/>
          <w:iCs/>
          <w:color w:val="000000"/>
          <w:sz w:val="24"/>
          <w:szCs w:val="24"/>
        </w:rPr>
        <w:t>Правос</w:t>
      </w:r>
      <w:r w:rsidRPr="00A60B94">
        <w:rPr>
          <w:rFonts w:ascii="Times New Roman" w:hAnsi="Times New Roman"/>
          <w:i/>
          <w:iCs/>
          <w:color w:val="000000"/>
          <w:sz w:val="24"/>
          <w:szCs w:val="24"/>
        </w:rPr>
        <w:t xml:space="preserve">удство и </w:t>
      </w:r>
      <w:r w:rsidR="00794C13">
        <w:rPr>
          <w:rFonts w:ascii="Times New Roman" w:hAnsi="Times New Roman"/>
          <w:i/>
          <w:iCs/>
          <w:color w:val="000000"/>
          <w:sz w:val="24"/>
          <w:szCs w:val="24"/>
        </w:rPr>
        <w:t>фундаментални</w:t>
      </w:r>
      <w:r w:rsidRPr="00A60B94">
        <w:rPr>
          <w:rFonts w:ascii="Times New Roman" w:hAnsi="Times New Roman"/>
          <w:i/>
          <w:iCs/>
          <w:color w:val="000000"/>
          <w:sz w:val="24"/>
          <w:szCs w:val="24"/>
        </w:rPr>
        <w:t xml:space="preserve"> права).</w:t>
      </w:r>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 xml:space="preserve">Во однос на </w:t>
      </w:r>
      <w:r w:rsidRPr="00A60B94">
        <w:rPr>
          <w:rFonts w:ascii="Times New Roman" w:hAnsi="Times New Roman"/>
          <w:b/>
          <w:bCs/>
          <w:color w:val="000000"/>
          <w:sz w:val="24"/>
          <w:szCs w:val="24"/>
        </w:rPr>
        <w:t>еднаквоста меѓу жените и мажите во вработувањето и социјалната политика</w:t>
      </w:r>
      <w:r w:rsidRPr="00A60B94">
        <w:rPr>
          <w:rFonts w:ascii="Times New Roman" w:hAnsi="Times New Roman"/>
          <w:color w:val="000000"/>
          <w:sz w:val="24"/>
          <w:szCs w:val="24"/>
        </w:rPr>
        <w:t xml:space="preserve"> и понатаму постои родов јаз на пазарот на труд. Конкретно, стапката на вработеност кај мажите беше 56,3</w:t>
      </w:r>
      <w:r>
        <w:rPr>
          <w:rFonts w:ascii="Times New Roman" w:hAnsi="Times New Roman"/>
          <w:color w:val="000000"/>
          <w:sz w:val="24"/>
          <w:szCs w:val="24"/>
        </w:rPr>
        <w:t xml:space="preserve"> </w:t>
      </w:r>
      <w:r w:rsidRPr="00A60B94">
        <w:rPr>
          <w:rFonts w:ascii="Times New Roman" w:hAnsi="Times New Roman"/>
          <w:color w:val="000000"/>
          <w:sz w:val="24"/>
          <w:szCs w:val="24"/>
        </w:rPr>
        <w:t>% во споредба со 38,3</w:t>
      </w:r>
      <w:r>
        <w:rPr>
          <w:rFonts w:ascii="Times New Roman" w:hAnsi="Times New Roman"/>
          <w:color w:val="000000"/>
          <w:sz w:val="24"/>
          <w:szCs w:val="24"/>
        </w:rPr>
        <w:t xml:space="preserve"> </w:t>
      </w:r>
      <w:r w:rsidRPr="00A60B94">
        <w:rPr>
          <w:rFonts w:ascii="Times New Roman" w:hAnsi="Times New Roman"/>
          <w:color w:val="000000"/>
          <w:sz w:val="24"/>
          <w:szCs w:val="24"/>
        </w:rPr>
        <w:t>% кај жените во 2021 година. Исто така, 55,5</w:t>
      </w:r>
      <w:r>
        <w:rPr>
          <w:rFonts w:ascii="Times New Roman" w:hAnsi="Times New Roman"/>
          <w:color w:val="000000"/>
          <w:sz w:val="24"/>
          <w:szCs w:val="24"/>
        </w:rPr>
        <w:t xml:space="preserve"> </w:t>
      </w:r>
      <w:r w:rsidRPr="00A60B94">
        <w:rPr>
          <w:rFonts w:ascii="Times New Roman" w:hAnsi="Times New Roman"/>
          <w:color w:val="000000"/>
          <w:sz w:val="24"/>
          <w:szCs w:val="24"/>
        </w:rPr>
        <w:t xml:space="preserve">% од жените </w:t>
      </w:r>
      <w:r w:rsidR="006130DE">
        <w:rPr>
          <w:rFonts w:ascii="Times New Roman" w:hAnsi="Times New Roman"/>
          <w:color w:val="000000"/>
          <w:sz w:val="24"/>
          <w:szCs w:val="24"/>
        </w:rPr>
        <w:t xml:space="preserve">беа </w:t>
      </w:r>
      <w:r w:rsidRPr="00A60B94">
        <w:rPr>
          <w:rFonts w:ascii="Times New Roman" w:hAnsi="Times New Roman"/>
          <w:color w:val="000000"/>
          <w:sz w:val="24"/>
          <w:szCs w:val="24"/>
        </w:rPr>
        <w:t>неактивни во споредба со 33,3</w:t>
      </w:r>
      <w:r>
        <w:rPr>
          <w:rFonts w:ascii="Times New Roman" w:hAnsi="Times New Roman"/>
          <w:color w:val="000000"/>
          <w:sz w:val="24"/>
          <w:szCs w:val="24"/>
        </w:rPr>
        <w:t xml:space="preserve"> </w:t>
      </w:r>
      <w:r w:rsidRPr="00A60B94">
        <w:rPr>
          <w:rFonts w:ascii="Times New Roman" w:hAnsi="Times New Roman"/>
          <w:color w:val="000000"/>
          <w:sz w:val="24"/>
          <w:szCs w:val="24"/>
        </w:rPr>
        <w:t xml:space="preserve">% од мажите. Сè уште не се достапни податоци и систем за следење на инциденти на сексуално вознемирување на работното место. Постигнат е одреден напредок со донесувањето на Програмата за поддршка за социјална сигурност на жените </w:t>
      </w:r>
      <w:r>
        <w:rPr>
          <w:rFonts w:ascii="Times New Roman" w:hAnsi="Times New Roman"/>
          <w:color w:val="000000"/>
          <w:sz w:val="24"/>
          <w:szCs w:val="24"/>
        </w:rPr>
        <w:t>што</w:t>
      </w:r>
      <w:r w:rsidRPr="00A60B94">
        <w:rPr>
          <w:rFonts w:ascii="Times New Roman" w:hAnsi="Times New Roman"/>
          <w:color w:val="000000"/>
          <w:sz w:val="24"/>
          <w:szCs w:val="24"/>
        </w:rPr>
        <w:t xml:space="preserve"> вршат земјоделска дејност за 2023 година,</w:t>
      </w:r>
      <w:r>
        <w:rPr>
          <w:rFonts w:ascii="Times New Roman" w:hAnsi="Times New Roman"/>
          <w:color w:val="000000"/>
          <w:sz w:val="24"/>
          <w:szCs w:val="24"/>
        </w:rPr>
        <w:t xml:space="preserve"> </w:t>
      </w:r>
      <w:r w:rsidRPr="00A60B94">
        <w:rPr>
          <w:rFonts w:ascii="Times New Roman" w:hAnsi="Times New Roman"/>
          <w:color w:val="000000"/>
          <w:sz w:val="24"/>
          <w:szCs w:val="24"/>
        </w:rPr>
        <w:t xml:space="preserve">на кои првпат </w:t>
      </w:r>
      <w:r>
        <w:rPr>
          <w:rFonts w:ascii="Times New Roman" w:hAnsi="Times New Roman"/>
          <w:color w:val="000000"/>
          <w:sz w:val="24"/>
          <w:szCs w:val="24"/>
        </w:rPr>
        <w:t xml:space="preserve">им </w:t>
      </w:r>
      <w:r w:rsidRPr="00A60B94">
        <w:rPr>
          <w:rFonts w:ascii="Times New Roman" w:hAnsi="Times New Roman"/>
          <w:color w:val="000000"/>
          <w:sz w:val="24"/>
          <w:szCs w:val="24"/>
        </w:rPr>
        <w:t xml:space="preserve">е доделен статус на „осигуреник-индивидуален земјоделец“ на жените и надоместок за мајчинство. Капацитетите за згрижување деца </w:t>
      </w:r>
      <w:r>
        <w:rPr>
          <w:rFonts w:ascii="Times New Roman" w:hAnsi="Times New Roman"/>
          <w:color w:val="000000"/>
          <w:sz w:val="24"/>
          <w:szCs w:val="24"/>
        </w:rPr>
        <w:t>и</w:t>
      </w:r>
      <w:r w:rsidRPr="00A60B94">
        <w:rPr>
          <w:rFonts w:ascii="Times New Roman" w:hAnsi="Times New Roman"/>
          <w:color w:val="000000"/>
          <w:sz w:val="24"/>
          <w:szCs w:val="24"/>
        </w:rPr>
        <w:t xml:space="preserve"> предучилишни установи се зголем</w:t>
      </w:r>
      <w:r>
        <w:rPr>
          <w:rFonts w:ascii="Times New Roman" w:hAnsi="Times New Roman"/>
          <w:color w:val="000000"/>
          <w:sz w:val="24"/>
          <w:szCs w:val="24"/>
        </w:rPr>
        <w:t>иле</w:t>
      </w:r>
      <w:r w:rsidRPr="00A60B94">
        <w:rPr>
          <w:rFonts w:ascii="Times New Roman" w:hAnsi="Times New Roman"/>
          <w:color w:val="000000"/>
          <w:sz w:val="24"/>
          <w:szCs w:val="24"/>
        </w:rPr>
        <w:t xml:space="preserve"> во текот на 2022 година со отворањето седум нови институции и 10 објекти во рамките на јавните институции. Зголемен е бројот на објектите за згрижување деца, со вкупен капацитет за 36.125 деца. Капацитетите за згрижување деца мора да се зголемат, особено во урбаните средини. И понатаму постои родов јаз во платите, а надлежните органи треба да обезбедуваат веродостојни податоци за следење на јазот. Анкетата за работната сила од 2022 година посоч</w:t>
      </w:r>
      <w:r>
        <w:rPr>
          <w:rFonts w:ascii="Times New Roman" w:hAnsi="Times New Roman"/>
          <w:color w:val="000000"/>
          <w:sz w:val="24"/>
          <w:szCs w:val="24"/>
        </w:rPr>
        <w:t>ува</w:t>
      </w:r>
      <w:r w:rsidRPr="00A60B94">
        <w:rPr>
          <w:rFonts w:ascii="Times New Roman" w:hAnsi="Times New Roman"/>
          <w:color w:val="000000"/>
          <w:sz w:val="24"/>
          <w:szCs w:val="24"/>
        </w:rPr>
        <w:t xml:space="preserve"> дека јазот е резултат на тоа што жените главно се концентрирани во слабо платени сектори и работни места. Просечната нето</w:t>
      </w:r>
      <w:r>
        <w:rPr>
          <w:rFonts w:ascii="Times New Roman" w:hAnsi="Times New Roman"/>
          <w:color w:val="000000"/>
          <w:sz w:val="24"/>
          <w:szCs w:val="24"/>
        </w:rPr>
        <w:t>-</w:t>
      </w:r>
      <w:r w:rsidRPr="00A60B94">
        <w:rPr>
          <w:rFonts w:ascii="Times New Roman" w:hAnsi="Times New Roman"/>
          <w:color w:val="000000"/>
          <w:sz w:val="24"/>
          <w:szCs w:val="24"/>
        </w:rPr>
        <w:t>плата за мажите во 2021 година била 2,6</w:t>
      </w:r>
      <w:r>
        <w:rPr>
          <w:rFonts w:ascii="Times New Roman" w:hAnsi="Times New Roman"/>
          <w:color w:val="000000"/>
          <w:sz w:val="24"/>
          <w:szCs w:val="24"/>
        </w:rPr>
        <w:t xml:space="preserve"> </w:t>
      </w:r>
      <w:r w:rsidRPr="00A60B94">
        <w:rPr>
          <w:rFonts w:ascii="Times New Roman" w:hAnsi="Times New Roman"/>
          <w:color w:val="000000"/>
          <w:sz w:val="24"/>
          <w:szCs w:val="24"/>
        </w:rPr>
        <w:t>% повисока од просечната нето</w:t>
      </w:r>
      <w:r>
        <w:rPr>
          <w:rFonts w:ascii="Times New Roman" w:hAnsi="Times New Roman"/>
          <w:color w:val="000000"/>
          <w:sz w:val="24"/>
          <w:szCs w:val="24"/>
        </w:rPr>
        <w:t>-</w:t>
      </w:r>
      <w:r w:rsidRPr="00A60B94">
        <w:rPr>
          <w:rFonts w:ascii="Times New Roman" w:hAnsi="Times New Roman"/>
          <w:color w:val="000000"/>
          <w:sz w:val="24"/>
          <w:szCs w:val="24"/>
        </w:rPr>
        <w:t>плата, а просечната нето</w:t>
      </w:r>
      <w:r>
        <w:rPr>
          <w:rFonts w:ascii="Times New Roman" w:hAnsi="Times New Roman"/>
          <w:color w:val="000000"/>
          <w:sz w:val="24"/>
          <w:szCs w:val="24"/>
        </w:rPr>
        <w:t>-</w:t>
      </w:r>
      <w:r w:rsidRPr="00A60B94">
        <w:rPr>
          <w:rFonts w:ascii="Times New Roman" w:hAnsi="Times New Roman"/>
          <w:color w:val="000000"/>
          <w:sz w:val="24"/>
          <w:szCs w:val="24"/>
        </w:rPr>
        <w:t>плата за жените 3,9</w:t>
      </w:r>
      <w:r>
        <w:rPr>
          <w:rFonts w:ascii="Times New Roman" w:hAnsi="Times New Roman"/>
          <w:color w:val="000000"/>
          <w:sz w:val="24"/>
          <w:szCs w:val="24"/>
        </w:rPr>
        <w:t xml:space="preserve"> </w:t>
      </w:r>
      <w:r w:rsidRPr="00A60B94">
        <w:rPr>
          <w:rFonts w:ascii="Times New Roman" w:hAnsi="Times New Roman"/>
          <w:color w:val="000000"/>
          <w:sz w:val="24"/>
          <w:szCs w:val="24"/>
        </w:rPr>
        <w:t>% пониска од просечната нето</w:t>
      </w:r>
      <w:r>
        <w:rPr>
          <w:rFonts w:ascii="Times New Roman" w:hAnsi="Times New Roman"/>
          <w:color w:val="000000"/>
          <w:sz w:val="24"/>
          <w:szCs w:val="24"/>
        </w:rPr>
        <w:t>-</w:t>
      </w:r>
      <w:r w:rsidRPr="00A60B94">
        <w:rPr>
          <w:rFonts w:ascii="Times New Roman" w:hAnsi="Times New Roman"/>
          <w:color w:val="000000"/>
          <w:sz w:val="24"/>
          <w:szCs w:val="24"/>
        </w:rPr>
        <w:t>плата.</w:t>
      </w:r>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 xml:space="preserve">Продолжи работата на изготвување на Законот за заштита од вознемирување на работното место, а Конвенцијата на МОТ за насилство и вознемирување број 190 од 2019 година </w:t>
      </w:r>
      <w:r w:rsidR="000C694F">
        <w:rPr>
          <w:rFonts w:ascii="Times New Roman" w:hAnsi="Times New Roman"/>
          <w:color w:val="000000"/>
          <w:sz w:val="24"/>
          <w:szCs w:val="24"/>
        </w:rPr>
        <w:t>е</w:t>
      </w:r>
      <w:r w:rsidR="000C694F" w:rsidRPr="00A60B94">
        <w:rPr>
          <w:rFonts w:ascii="Times New Roman" w:hAnsi="Times New Roman"/>
          <w:color w:val="000000"/>
          <w:sz w:val="24"/>
          <w:szCs w:val="24"/>
        </w:rPr>
        <w:t xml:space="preserve"> </w:t>
      </w:r>
      <w:r w:rsidRPr="00A60B94">
        <w:rPr>
          <w:rFonts w:ascii="Times New Roman" w:hAnsi="Times New Roman"/>
          <w:color w:val="000000"/>
          <w:sz w:val="24"/>
          <w:szCs w:val="24"/>
        </w:rPr>
        <w:t>донесена во јуни 2023 година.</w:t>
      </w:r>
    </w:p>
    <w:p w:rsidR="006B3D9A" w:rsidRPr="00A60B94" w:rsidRDefault="006B3D9A" w:rsidP="00A661C4">
      <w:pPr>
        <w:pStyle w:val="Heading2"/>
      </w:pPr>
      <w:bookmarkStart w:id="80" w:name="bookmark49"/>
      <w:bookmarkStart w:id="81" w:name="_Toc150864275"/>
      <w:r w:rsidRPr="00A60B94">
        <w:t>П</w:t>
      </w:r>
      <w:bookmarkEnd w:id="80"/>
      <w:r w:rsidRPr="00A60B94">
        <w:t>оглавје 20: Претпријатија и индустриска политика</w:t>
      </w:r>
      <w:bookmarkEnd w:id="81"/>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sidRPr="00A60B94">
        <w:rPr>
          <w:rFonts w:ascii="Times New Roman" w:hAnsi="Times New Roman"/>
          <w:i/>
          <w:iCs/>
          <w:color w:val="000000"/>
          <w:sz w:val="24"/>
          <w:szCs w:val="24"/>
        </w:rPr>
        <w:t>Индустриската политика на ЕУ ја зајакнува конкурентноста, ги олеснува структурните промени и поттикнува опкружување погодно за бизнис што ги стимулира малите и средните претпријатија (МСП).</w:t>
      </w:r>
    </w:p>
    <w:p w:rsidR="006B3D9A" w:rsidRPr="00A60B94" w:rsidRDefault="006B3D9A"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 xml:space="preserve">Земјата е </w:t>
      </w:r>
      <w:r w:rsidRPr="00A60B94">
        <w:rPr>
          <w:rFonts w:ascii="Times New Roman" w:hAnsi="Times New Roman"/>
          <w:b/>
          <w:bCs/>
          <w:color w:val="000000"/>
          <w:sz w:val="24"/>
          <w:szCs w:val="24"/>
        </w:rPr>
        <w:t>умерено подготвена</w:t>
      </w:r>
      <w:r w:rsidRPr="00A60B94">
        <w:rPr>
          <w:rFonts w:ascii="Times New Roman" w:hAnsi="Times New Roman"/>
          <w:color w:val="000000"/>
          <w:sz w:val="24"/>
          <w:szCs w:val="24"/>
        </w:rPr>
        <w:t xml:space="preserve"> во областа на претпријатијата и индустриската политика. Постигнат е </w:t>
      </w:r>
      <w:r w:rsidRPr="00A60B94">
        <w:rPr>
          <w:rFonts w:ascii="Times New Roman" w:hAnsi="Times New Roman"/>
          <w:b/>
          <w:bCs/>
          <w:color w:val="000000"/>
          <w:sz w:val="24"/>
          <w:szCs w:val="24"/>
        </w:rPr>
        <w:t xml:space="preserve">одреден напредок </w:t>
      </w:r>
      <w:r w:rsidRPr="00A60B94">
        <w:rPr>
          <w:rFonts w:ascii="Times New Roman" w:hAnsi="Times New Roman"/>
          <w:color w:val="000000"/>
          <w:sz w:val="24"/>
          <w:szCs w:val="24"/>
        </w:rPr>
        <w:t>во однос на препораките од минатата година и преземени се мерки за зголемување на конкурентноста на домашните компании. Затоа, препораките од минатата година сè уште важат</w:t>
      </w:r>
      <w:r w:rsidRPr="008B01FF">
        <w:rPr>
          <w:rFonts w:ascii="Times New Roman" w:hAnsi="Times New Roman"/>
          <w:color w:val="000000"/>
          <w:sz w:val="24"/>
          <w:szCs w:val="24"/>
        </w:rPr>
        <w:t xml:space="preserve"> </w:t>
      </w:r>
      <w:r w:rsidRPr="00A60B94">
        <w:rPr>
          <w:rFonts w:ascii="Times New Roman" w:hAnsi="Times New Roman"/>
          <w:color w:val="000000"/>
          <w:sz w:val="24"/>
          <w:szCs w:val="24"/>
        </w:rPr>
        <w:t>во голема мера, а наредната година земјата особено треба:</w:t>
      </w:r>
    </w:p>
    <w:p w:rsidR="006B3D9A" w:rsidRPr="00A60B94" w:rsidRDefault="006B3D9A"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w:t>
      </w:r>
      <w:r w:rsidRPr="00A60B94">
        <w:rPr>
          <w:rFonts w:ascii="Times New Roman" w:hAnsi="Times New Roman"/>
          <w:color w:val="000000"/>
          <w:sz w:val="24"/>
          <w:szCs w:val="24"/>
        </w:rPr>
        <w:tab/>
        <w:t xml:space="preserve">да </w:t>
      </w:r>
      <w:r>
        <w:rPr>
          <w:rFonts w:ascii="Times New Roman" w:hAnsi="Times New Roman"/>
          <w:color w:val="000000"/>
          <w:sz w:val="24"/>
          <w:szCs w:val="24"/>
        </w:rPr>
        <w:t>ги</w:t>
      </w:r>
      <w:r w:rsidRPr="00A60B94">
        <w:rPr>
          <w:rFonts w:ascii="Times New Roman" w:hAnsi="Times New Roman"/>
          <w:color w:val="000000"/>
          <w:sz w:val="24"/>
          <w:szCs w:val="24"/>
        </w:rPr>
        <w:t xml:space="preserve"> консолидира институционалната структура и овластувањата на јавните тела и да ја зајакне ефективноста на мерките за политиките за претпријатијата и индустријата;</w:t>
      </w:r>
    </w:p>
    <w:p w:rsidR="006B3D9A" w:rsidRPr="00A60B94" w:rsidRDefault="006B3D9A"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w:t>
      </w:r>
      <w:r w:rsidRPr="00A60B94">
        <w:rPr>
          <w:rFonts w:ascii="Times New Roman" w:hAnsi="Times New Roman"/>
          <w:color w:val="000000"/>
          <w:sz w:val="24"/>
          <w:szCs w:val="24"/>
        </w:rPr>
        <w:tab/>
        <w:t>да ја донесе и да почне да ја спроведува стратегијата за промоција на извозот;</w:t>
      </w:r>
    </w:p>
    <w:p w:rsidR="006B3D9A" w:rsidRPr="00A60B94" w:rsidRDefault="006B3D9A"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w:t>
      </w:r>
      <w:r w:rsidRPr="00A60B94">
        <w:rPr>
          <w:rFonts w:ascii="Times New Roman" w:hAnsi="Times New Roman"/>
          <w:color w:val="000000"/>
          <w:sz w:val="24"/>
          <w:szCs w:val="24"/>
        </w:rPr>
        <w:tab/>
        <w:t xml:space="preserve">да почне да ја спроведува новата </w:t>
      </w:r>
      <w:r>
        <w:rPr>
          <w:rFonts w:ascii="Times New Roman" w:hAnsi="Times New Roman"/>
          <w:color w:val="000000"/>
          <w:sz w:val="24"/>
          <w:szCs w:val="24"/>
        </w:rPr>
        <w:t>С</w:t>
      </w:r>
      <w:r w:rsidRPr="00A60B94">
        <w:rPr>
          <w:rFonts w:ascii="Times New Roman" w:hAnsi="Times New Roman"/>
          <w:color w:val="000000"/>
          <w:sz w:val="24"/>
          <w:szCs w:val="24"/>
        </w:rPr>
        <w:t>тратегија за формализирање на неформалната економија 2023</w:t>
      </w:r>
      <w:r>
        <w:rPr>
          <w:rFonts w:ascii="Times New Roman" w:hAnsi="Times New Roman"/>
          <w:color w:val="000000"/>
          <w:sz w:val="24"/>
          <w:szCs w:val="24"/>
        </w:rPr>
        <w:t xml:space="preserve"> </w:t>
      </w:r>
      <w:r w:rsidRPr="00A60B94">
        <w:rPr>
          <w:rFonts w:ascii="Times New Roman" w:hAnsi="Times New Roman"/>
          <w:color w:val="000000"/>
          <w:sz w:val="24"/>
          <w:szCs w:val="24"/>
        </w:rPr>
        <w:t>-</w:t>
      </w:r>
      <w:r>
        <w:rPr>
          <w:rFonts w:ascii="Times New Roman" w:hAnsi="Times New Roman"/>
          <w:color w:val="000000"/>
          <w:sz w:val="24"/>
          <w:szCs w:val="24"/>
        </w:rPr>
        <w:t xml:space="preserve"> </w:t>
      </w:r>
      <w:r w:rsidRPr="00A60B94">
        <w:rPr>
          <w:rFonts w:ascii="Times New Roman" w:hAnsi="Times New Roman"/>
          <w:color w:val="000000"/>
          <w:sz w:val="24"/>
          <w:szCs w:val="24"/>
        </w:rPr>
        <w:t>2027 година со акциски план и да обезбеди високо ниво на политичка посветеност.</w:t>
      </w:r>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sidRPr="00A60B94">
        <w:rPr>
          <w:rFonts w:ascii="Times New Roman" w:hAnsi="Times New Roman"/>
          <w:b/>
          <w:bCs/>
          <w:color w:val="000000"/>
          <w:sz w:val="24"/>
          <w:szCs w:val="24"/>
        </w:rPr>
        <w:t xml:space="preserve">Начелата на претпријатија и индустриската политика </w:t>
      </w:r>
      <w:r w:rsidRPr="00A60B94">
        <w:rPr>
          <w:rFonts w:ascii="Times New Roman" w:hAnsi="Times New Roman"/>
          <w:color w:val="000000"/>
          <w:sz w:val="24"/>
          <w:szCs w:val="24"/>
        </w:rPr>
        <w:t xml:space="preserve">се инкорпорирани во </w:t>
      </w:r>
      <w:r>
        <w:rPr>
          <w:rFonts w:ascii="Times New Roman" w:hAnsi="Times New Roman"/>
          <w:color w:val="000000"/>
          <w:sz w:val="24"/>
          <w:szCs w:val="24"/>
        </w:rPr>
        <w:t xml:space="preserve">голем </w:t>
      </w:r>
      <w:r w:rsidRPr="00A60B94">
        <w:rPr>
          <w:rFonts w:ascii="Times New Roman" w:hAnsi="Times New Roman"/>
          <w:color w:val="000000"/>
          <w:sz w:val="24"/>
          <w:szCs w:val="24"/>
        </w:rPr>
        <w:t xml:space="preserve">број стратешки документи под надлежност на различни државни органи. </w:t>
      </w:r>
      <w:r w:rsidR="000C694F">
        <w:rPr>
          <w:rFonts w:ascii="Times New Roman" w:hAnsi="Times New Roman"/>
          <w:color w:val="000000"/>
          <w:sz w:val="24"/>
          <w:szCs w:val="24"/>
        </w:rPr>
        <w:t>Главно</w:t>
      </w:r>
      <w:r w:rsidRPr="00A60B94">
        <w:rPr>
          <w:rFonts w:ascii="Times New Roman" w:hAnsi="Times New Roman"/>
          <w:color w:val="000000"/>
          <w:sz w:val="24"/>
          <w:szCs w:val="24"/>
        </w:rPr>
        <w:t>, во оваа област има недост</w:t>
      </w:r>
      <w:r>
        <w:rPr>
          <w:rFonts w:ascii="Times New Roman" w:hAnsi="Times New Roman"/>
          <w:color w:val="000000"/>
          <w:sz w:val="24"/>
          <w:szCs w:val="24"/>
        </w:rPr>
        <w:t>иг</w:t>
      </w:r>
      <w:r w:rsidRPr="00A60B94">
        <w:rPr>
          <w:rFonts w:ascii="Times New Roman" w:hAnsi="Times New Roman"/>
          <w:color w:val="000000"/>
          <w:sz w:val="24"/>
          <w:szCs w:val="24"/>
        </w:rPr>
        <w:t xml:space="preserve"> на доследност и координација. Преклопувања</w:t>
      </w:r>
      <w:r>
        <w:rPr>
          <w:rFonts w:ascii="Times New Roman" w:hAnsi="Times New Roman"/>
          <w:color w:val="000000"/>
          <w:sz w:val="24"/>
          <w:szCs w:val="24"/>
        </w:rPr>
        <w:t>та</w:t>
      </w:r>
      <w:r w:rsidRPr="00A60B94">
        <w:rPr>
          <w:rFonts w:ascii="Times New Roman" w:hAnsi="Times New Roman"/>
          <w:color w:val="000000"/>
          <w:sz w:val="24"/>
          <w:szCs w:val="24"/>
        </w:rPr>
        <w:t xml:space="preserve"> и спротивставени</w:t>
      </w:r>
      <w:r>
        <w:rPr>
          <w:rFonts w:ascii="Times New Roman" w:hAnsi="Times New Roman"/>
          <w:color w:val="000000"/>
          <w:sz w:val="24"/>
          <w:szCs w:val="24"/>
        </w:rPr>
        <w:t>те</w:t>
      </w:r>
      <w:r w:rsidRPr="00A60B94">
        <w:rPr>
          <w:rFonts w:ascii="Times New Roman" w:hAnsi="Times New Roman"/>
          <w:color w:val="000000"/>
          <w:sz w:val="24"/>
          <w:szCs w:val="24"/>
        </w:rPr>
        <w:t xml:space="preserve"> овластувања сè уште ја комплицираат институционалната поставеност, а ресурсите не се користат ефикасно. За да го реши овој проблем, Владата донесе план за консолидирање на дел од административната структура, при што се споени одредени институции, а други се интегрирани во Министерството за економија. Меѓутоа, планот сè уште не се спроведува (</w:t>
      </w:r>
      <w:r w:rsidRPr="00A60B94">
        <w:rPr>
          <w:rFonts w:ascii="Times New Roman" w:hAnsi="Times New Roman"/>
          <w:i/>
          <w:iCs/>
          <w:color w:val="000000"/>
          <w:sz w:val="24"/>
          <w:szCs w:val="24"/>
        </w:rPr>
        <w:t>видете го и делот за реформата на јавната администрација</w:t>
      </w:r>
      <w:r w:rsidRPr="00A60B94">
        <w:rPr>
          <w:rFonts w:ascii="Times New Roman" w:hAnsi="Times New Roman"/>
          <w:color w:val="000000"/>
          <w:sz w:val="24"/>
          <w:szCs w:val="24"/>
        </w:rPr>
        <w:t>). Планот за забрзан економски раст 2022</w:t>
      </w:r>
      <w:r>
        <w:rPr>
          <w:rFonts w:ascii="Times New Roman" w:hAnsi="Times New Roman"/>
          <w:color w:val="000000"/>
          <w:sz w:val="24"/>
          <w:szCs w:val="24"/>
        </w:rPr>
        <w:t xml:space="preserve"> </w:t>
      </w:r>
      <w:r w:rsidRPr="00A60B94">
        <w:rPr>
          <w:rFonts w:ascii="Times New Roman" w:hAnsi="Times New Roman"/>
          <w:color w:val="000000"/>
          <w:sz w:val="24"/>
          <w:szCs w:val="24"/>
        </w:rPr>
        <w:t>-</w:t>
      </w:r>
      <w:r>
        <w:rPr>
          <w:rFonts w:ascii="Times New Roman" w:hAnsi="Times New Roman"/>
          <w:color w:val="000000"/>
          <w:sz w:val="24"/>
          <w:szCs w:val="24"/>
        </w:rPr>
        <w:t xml:space="preserve"> </w:t>
      </w:r>
      <w:r w:rsidRPr="00A60B94">
        <w:rPr>
          <w:rFonts w:ascii="Times New Roman" w:hAnsi="Times New Roman"/>
          <w:color w:val="000000"/>
          <w:sz w:val="24"/>
          <w:szCs w:val="24"/>
        </w:rPr>
        <w:t>2026 година бавно се спроведува.</w:t>
      </w:r>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Државниот завод за ревизија утврди недостатоци во мерките за туристичкиот сектор, за компаниите погодени од КОВИД-19, во работењето на Фондот за иновации и технолошки развој, како и во Дирекцијата за технолошки индустриски развојни зони (</w:t>
      </w:r>
      <w:r w:rsidRPr="00A60B94">
        <w:rPr>
          <w:rFonts w:ascii="Times New Roman" w:hAnsi="Times New Roman"/>
          <w:i/>
          <w:iCs/>
          <w:color w:val="000000"/>
          <w:sz w:val="24"/>
          <w:szCs w:val="24"/>
        </w:rPr>
        <w:t>видете го и делот за Отчетност на администрацијата и Поглавје 32 – Финансиска контрола</w:t>
      </w:r>
      <w:r w:rsidRPr="00A60B94">
        <w:rPr>
          <w:rFonts w:ascii="Times New Roman" w:hAnsi="Times New Roman"/>
          <w:color w:val="000000"/>
          <w:sz w:val="24"/>
          <w:szCs w:val="24"/>
        </w:rPr>
        <w:t>).</w:t>
      </w:r>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Дијалогот со стопанските комори преку заедничката платформа продолжи во текот на целиот период на извештајот. Меѓутоа, нередовно се спроведуваат консултации со засегнатите страни (</w:t>
      </w:r>
      <w:r w:rsidRPr="00A60B94">
        <w:rPr>
          <w:rFonts w:ascii="Times New Roman" w:hAnsi="Times New Roman"/>
          <w:i/>
          <w:iCs/>
          <w:color w:val="000000"/>
          <w:sz w:val="24"/>
          <w:szCs w:val="24"/>
        </w:rPr>
        <w:t>видете ги и деловите за Економски критериуми и Реформата на јавната администрација</w:t>
      </w:r>
      <w:r w:rsidRPr="00A60B94">
        <w:rPr>
          <w:rFonts w:ascii="Times New Roman" w:hAnsi="Times New Roman"/>
          <w:color w:val="000000"/>
          <w:sz w:val="24"/>
          <w:szCs w:val="24"/>
        </w:rPr>
        <w:t>). Законодавството за компаниите честопати се менува без да им се овозможи период на приспособување на компаниите.</w:t>
      </w:r>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Одредени фактори, како што се зголемувањето на минималната плата и некои парафискални давачки, негативно се одразија врз деловното опкружување. Постигнат е одреден напредок во однос на неформалните деловни активности: изготвена е методологија за рационализирање на парафискалните давачки, а оданочувањето стана помалку дисторзивно. Стратегијата за формализирање на неформалната економија 2023</w:t>
      </w:r>
      <w:r>
        <w:rPr>
          <w:rFonts w:ascii="Times New Roman" w:hAnsi="Times New Roman"/>
          <w:color w:val="000000"/>
          <w:sz w:val="24"/>
          <w:szCs w:val="24"/>
        </w:rPr>
        <w:t xml:space="preserve"> </w:t>
      </w:r>
      <w:r w:rsidRPr="00A60B94">
        <w:rPr>
          <w:rFonts w:ascii="Times New Roman" w:hAnsi="Times New Roman"/>
          <w:color w:val="000000"/>
          <w:sz w:val="24"/>
          <w:szCs w:val="24"/>
        </w:rPr>
        <w:t>-</w:t>
      </w:r>
      <w:r>
        <w:rPr>
          <w:rFonts w:ascii="Times New Roman" w:hAnsi="Times New Roman"/>
          <w:color w:val="000000"/>
          <w:sz w:val="24"/>
          <w:szCs w:val="24"/>
        </w:rPr>
        <w:t xml:space="preserve"> </w:t>
      </w:r>
      <w:r w:rsidRPr="00A60B94">
        <w:rPr>
          <w:rFonts w:ascii="Times New Roman" w:hAnsi="Times New Roman"/>
          <w:color w:val="000000"/>
          <w:sz w:val="24"/>
          <w:szCs w:val="24"/>
        </w:rPr>
        <w:t xml:space="preserve">2027 година и </w:t>
      </w:r>
      <w:r>
        <w:rPr>
          <w:rFonts w:ascii="Times New Roman" w:hAnsi="Times New Roman"/>
          <w:color w:val="000000"/>
          <w:sz w:val="24"/>
          <w:szCs w:val="24"/>
        </w:rPr>
        <w:t>А</w:t>
      </w:r>
      <w:r w:rsidRPr="00A60B94">
        <w:rPr>
          <w:rFonts w:ascii="Times New Roman" w:hAnsi="Times New Roman"/>
          <w:color w:val="000000"/>
          <w:sz w:val="24"/>
          <w:szCs w:val="24"/>
        </w:rPr>
        <w:t>кцискиот план 2023</w:t>
      </w:r>
      <w:r>
        <w:rPr>
          <w:rFonts w:ascii="Times New Roman" w:hAnsi="Times New Roman"/>
          <w:color w:val="000000"/>
          <w:sz w:val="24"/>
          <w:szCs w:val="24"/>
        </w:rPr>
        <w:t xml:space="preserve"> </w:t>
      </w:r>
      <w:r w:rsidRPr="00A60B94">
        <w:rPr>
          <w:rFonts w:ascii="Times New Roman" w:hAnsi="Times New Roman"/>
          <w:color w:val="000000"/>
          <w:sz w:val="24"/>
          <w:szCs w:val="24"/>
        </w:rPr>
        <w:t>-</w:t>
      </w:r>
      <w:r>
        <w:rPr>
          <w:rFonts w:ascii="Times New Roman" w:hAnsi="Times New Roman"/>
          <w:color w:val="000000"/>
          <w:sz w:val="24"/>
          <w:szCs w:val="24"/>
        </w:rPr>
        <w:t xml:space="preserve"> </w:t>
      </w:r>
      <w:r w:rsidR="00AF05B3">
        <w:rPr>
          <w:rFonts w:ascii="Times New Roman" w:hAnsi="Times New Roman"/>
          <w:color w:val="000000"/>
          <w:sz w:val="24"/>
          <w:szCs w:val="24"/>
        </w:rPr>
        <w:t xml:space="preserve">2025 година беа </w:t>
      </w:r>
      <w:r w:rsidRPr="00A60B94">
        <w:rPr>
          <w:rFonts w:ascii="Times New Roman" w:hAnsi="Times New Roman"/>
          <w:color w:val="000000"/>
          <w:sz w:val="24"/>
          <w:szCs w:val="24"/>
        </w:rPr>
        <w:t>донесени во септември 2023 година. Потребно е да се обрне поголемо внимание на соработката на МСП во рамките на иновациската дејност и обуките за ИКТ од страна на претпријатијата за да се неутрализира неповолниот развој во изминатите години. Допрва треба да се донесе стратегија за промоција на извозот насочена кон интернационализацијата на домашните компании.</w:t>
      </w:r>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 xml:space="preserve">Во однос на </w:t>
      </w:r>
      <w:r w:rsidRPr="00A60B94">
        <w:rPr>
          <w:rFonts w:ascii="Times New Roman" w:hAnsi="Times New Roman"/>
          <w:b/>
          <w:bCs/>
          <w:color w:val="000000"/>
          <w:sz w:val="24"/>
          <w:szCs w:val="24"/>
        </w:rPr>
        <w:t>политичките инструменти</w:t>
      </w:r>
      <w:r w:rsidRPr="00A60B94">
        <w:rPr>
          <w:rFonts w:ascii="Times New Roman" w:hAnsi="Times New Roman"/>
          <w:color w:val="000000"/>
          <w:sz w:val="24"/>
          <w:szCs w:val="24"/>
        </w:rPr>
        <w:t>, во април 2023 година Северна Македонија ја потпиша Спогодбата за асоцијација за учество во Програмата за единствен пазар на ЕУ.</w:t>
      </w:r>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Во јуни 2023 година</w:t>
      </w:r>
      <w:r w:rsidRPr="00A60B94" w:rsidDel="002A4EB4">
        <w:rPr>
          <w:rFonts w:ascii="Times New Roman" w:hAnsi="Times New Roman"/>
          <w:color w:val="000000"/>
          <w:sz w:val="24"/>
          <w:szCs w:val="24"/>
        </w:rPr>
        <w:t xml:space="preserve"> </w:t>
      </w:r>
      <w:r w:rsidRPr="00A60B94">
        <w:rPr>
          <w:rFonts w:ascii="Times New Roman" w:hAnsi="Times New Roman"/>
          <w:color w:val="000000"/>
          <w:sz w:val="24"/>
          <w:szCs w:val="24"/>
        </w:rPr>
        <w:t>донесени се измени и дополнувања на Законот за финансиска дисциплина</w:t>
      </w:r>
      <w:r>
        <w:rPr>
          <w:rFonts w:ascii="Times New Roman" w:hAnsi="Times New Roman"/>
          <w:color w:val="000000"/>
          <w:sz w:val="24"/>
          <w:szCs w:val="24"/>
        </w:rPr>
        <w:t>,</w:t>
      </w:r>
      <w:r w:rsidRPr="00A60B94">
        <w:rPr>
          <w:rFonts w:ascii="Times New Roman" w:hAnsi="Times New Roman"/>
          <w:color w:val="000000"/>
          <w:sz w:val="24"/>
          <w:szCs w:val="24"/>
        </w:rPr>
        <w:t xml:space="preserve"> со цел дополнително усогласување со Директивата на ЕУ за задоцнети плаќања. Меѓутоа, сè уште треба да се разјаснат некои клучни прашања,</w:t>
      </w:r>
      <w:r w:rsidRPr="00A60B94">
        <w:rPr>
          <w:rFonts w:ascii="Times New Roman" w:hAnsi="Times New Roman"/>
          <w:sz w:val="24"/>
          <w:szCs w:val="24"/>
        </w:rPr>
        <w:t xml:space="preserve"> </w:t>
      </w:r>
      <w:r w:rsidRPr="00A60B94">
        <w:rPr>
          <w:rFonts w:ascii="Times New Roman" w:hAnsi="Times New Roman"/>
          <w:color w:val="000000"/>
          <w:sz w:val="24"/>
          <w:szCs w:val="24"/>
        </w:rPr>
        <w:t>на пример, критериумите за пресметување на периодите на плаќање или правото на паушален надоместок.</w:t>
      </w:r>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w:t>
      </w:r>
      <w:r w:rsidRPr="00A60B94">
        <w:rPr>
          <w:rFonts w:ascii="Times New Roman" w:hAnsi="Times New Roman"/>
          <w:color w:val="000000"/>
          <w:sz w:val="24"/>
          <w:szCs w:val="24"/>
        </w:rPr>
        <w:t xml:space="preserve">2022 година </w:t>
      </w:r>
      <w:r w:rsidR="006130DE">
        <w:rPr>
          <w:rFonts w:ascii="Times New Roman" w:hAnsi="Times New Roman"/>
          <w:color w:val="000000"/>
          <w:sz w:val="24"/>
          <w:szCs w:val="24"/>
        </w:rPr>
        <w:t>е</w:t>
      </w:r>
      <w:r w:rsidRPr="00A60B94">
        <w:rPr>
          <w:rFonts w:ascii="Times New Roman" w:hAnsi="Times New Roman"/>
          <w:color w:val="000000"/>
          <w:sz w:val="24"/>
          <w:szCs w:val="24"/>
        </w:rPr>
        <w:t xml:space="preserve"> основан Фондот за развој, а механизмот за функционирање на Хибридниот стратешки фонд за зелени инвестиции </w:t>
      </w:r>
      <w:r w:rsidR="006130DE">
        <w:rPr>
          <w:rFonts w:ascii="Times New Roman" w:hAnsi="Times New Roman"/>
          <w:color w:val="000000"/>
          <w:sz w:val="24"/>
          <w:szCs w:val="24"/>
        </w:rPr>
        <w:t>е</w:t>
      </w:r>
      <w:r w:rsidRPr="00A60B94">
        <w:rPr>
          <w:rFonts w:ascii="Times New Roman" w:hAnsi="Times New Roman"/>
          <w:color w:val="000000"/>
          <w:sz w:val="24"/>
          <w:szCs w:val="24"/>
        </w:rPr>
        <w:t xml:space="preserve"> ставен во употреба за поддршка на извозот на иновации и практики во рамките на Европскиот зелен договор. За да се ублажат ефектите од енергетската криза и високата инфлација, Владата воведе мерки за поддршка што треба подобро да се насочат. Воведени се </w:t>
      </w:r>
      <w:r>
        <w:rPr>
          <w:rFonts w:ascii="Times New Roman" w:hAnsi="Times New Roman"/>
          <w:color w:val="000000"/>
          <w:sz w:val="24"/>
          <w:szCs w:val="24"/>
        </w:rPr>
        <w:t>многу</w:t>
      </w:r>
      <w:r w:rsidRPr="00A60B94">
        <w:rPr>
          <w:rFonts w:ascii="Times New Roman" w:hAnsi="Times New Roman"/>
          <w:color w:val="000000"/>
          <w:sz w:val="24"/>
          <w:szCs w:val="24"/>
        </w:rPr>
        <w:t xml:space="preserve">бројни политички мерки засновани </w:t>
      </w:r>
      <w:r>
        <w:rPr>
          <w:rFonts w:ascii="Times New Roman" w:hAnsi="Times New Roman"/>
          <w:color w:val="000000"/>
          <w:sz w:val="24"/>
          <w:szCs w:val="24"/>
        </w:rPr>
        <w:t>врз</w:t>
      </w:r>
      <w:r w:rsidRPr="00A60B94">
        <w:rPr>
          <w:rFonts w:ascii="Times New Roman" w:hAnsi="Times New Roman"/>
          <w:color w:val="000000"/>
          <w:sz w:val="24"/>
          <w:szCs w:val="24"/>
        </w:rPr>
        <w:t xml:space="preserve"> грантови за компаниите, меѓутоа, </w:t>
      </w:r>
      <w:r>
        <w:rPr>
          <w:rFonts w:ascii="Times New Roman" w:hAnsi="Times New Roman"/>
          <w:color w:val="000000"/>
          <w:sz w:val="24"/>
          <w:szCs w:val="24"/>
        </w:rPr>
        <w:t>тие</w:t>
      </w:r>
      <w:r w:rsidRPr="00A60B94">
        <w:rPr>
          <w:rFonts w:ascii="Times New Roman" w:hAnsi="Times New Roman"/>
          <w:color w:val="000000"/>
          <w:sz w:val="24"/>
          <w:szCs w:val="24"/>
        </w:rPr>
        <w:t xml:space="preserve"> треба детално да се евалуираат, со оглед на тоа што имаат потенцијал да ја нарушат конкуренцијата на пазарот, да поттикнат неформални деловни активности и нетранспарентност.</w:t>
      </w:r>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 xml:space="preserve">Во однос на </w:t>
      </w:r>
      <w:r w:rsidRPr="00A60B94">
        <w:rPr>
          <w:rFonts w:ascii="Times New Roman" w:hAnsi="Times New Roman"/>
          <w:b/>
          <w:bCs/>
          <w:color w:val="000000"/>
          <w:sz w:val="24"/>
          <w:szCs w:val="24"/>
        </w:rPr>
        <w:t>секторските политики</w:t>
      </w:r>
      <w:r w:rsidRPr="00A60B94">
        <w:rPr>
          <w:rFonts w:ascii="Times New Roman" w:hAnsi="Times New Roman"/>
          <w:color w:val="000000"/>
          <w:sz w:val="24"/>
          <w:szCs w:val="24"/>
        </w:rPr>
        <w:t>, Министерството за економија заврши со мапирањето на потенцијалот за циркуларна економија како прв чекор кон изготвувањето патоказ за циркуларна економија.</w:t>
      </w:r>
    </w:p>
    <w:p w:rsidR="006B3D9A" w:rsidRPr="00A60B94" w:rsidRDefault="006B3D9A" w:rsidP="00A661C4">
      <w:pPr>
        <w:pStyle w:val="Heading2"/>
      </w:pPr>
      <w:bookmarkStart w:id="82" w:name="bookmark50"/>
      <w:bookmarkStart w:id="83" w:name="_Toc150864276"/>
      <w:r w:rsidRPr="00A60B94">
        <w:t>П</w:t>
      </w:r>
      <w:bookmarkEnd w:id="82"/>
      <w:r w:rsidRPr="00A60B94">
        <w:t>оглавје 25: Наука и истражување</w:t>
      </w:r>
      <w:bookmarkEnd w:id="83"/>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sidRPr="00A60B94">
        <w:rPr>
          <w:rFonts w:ascii="Times New Roman" w:hAnsi="Times New Roman"/>
          <w:i/>
          <w:iCs/>
          <w:color w:val="000000"/>
          <w:sz w:val="24"/>
          <w:szCs w:val="24"/>
        </w:rPr>
        <w:t>ЕУ обезбедува значителна поддршка за истражување</w:t>
      </w:r>
      <w:r>
        <w:rPr>
          <w:rFonts w:ascii="Times New Roman" w:hAnsi="Times New Roman"/>
          <w:i/>
          <w:iCs/>
          <w:color w:val="000000"/>
          <w:sz w:val="24"/>
          <w:szCs w:val="24"/>
        </w:rPr>
        <w:t>то</w:t>
      </w:r>
      <w:r w:rsidRPr="00A60B94">
        <w:rPr>
          <w:rFonts w:ascii="Times New Roman" w:hAnsi="Times New Roman"/>
          <w:i/>
          <w:iCs/>
          <w:color w:val="000000"/>
          <w:sz w:val="24"/>
          <w:szCs w:val="24"/>
        </w:rPr>
        <w:t xml:space="preserve"> и иновации</w:t>
      </w:r>
      <w:r>
        <w:rPr>
          <w:rFonts w:ascii="Times New Roman" w:hAnsi="Times New Roman"/>
          <w:i/>
          <w:iCs/>
          <w:color w:val="000000"/>
          <w:sz w:val="24"/>
          <w:szCs w:val="24"/>
        </w:rPr>
        <w:t>те</w:t>
      </w:r>
      <w:r w:rsidRPr="00A60B94">
        <w:rPr>
          <w:rFonts w:ascii="Times New Roman" w:hAnsi="Times New Roman"/>
          <w:i/>
          <w:iCs/>
          <w:color w:val="000000"/>
          <w:sz w:val="24"/>
          <w:szCs w:val="24"/>
        </w:rPr>
        <w:t>. Сите земји членки може да учествуваат во програмите на ЕУ за истражување и иновации и да ги искористат придобивките, особено онаму каде што има научна извонредност и солидни инвестиции во истражувањето и иновациите.</w:t>
      </w:r>
    </w:p>
    <w:p w:rsidR="006B3D9A" w:rsidRPr="00A60B94" w:rsidRDefault="006B3D9A"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 xml:space="preserve">Земјата </w:t>
      </w:r>
      <w:r w:rsidR="00794C13">
        <w:rPr>
          <w:rFonts w:ascii="Times New Roman" w:hAnsi="Times New Roman"/>
          <w:color w:val="000000"/>
          <w:sz w:val="24"/>
          <w:szCs w:val="24"/>
        </w:rPr>
        <w:t>има постигнато</w:t>
      </w:r>
      <w:r w:rsidRPr="00A60B94">
        <w:rPr>
          <w:rFonts w:ascii="Times New Roman" w:hAnsi="Times New Roman"/>
          <w:color w:val="000000"/>
          <w:sz w:val="24"/>
          <w:szCs w:val="24"/>
        </w:rPr>
        <w:t xml:space="preserve"> </w:t>
      </w:r>
      <w:r w:rsidRPr="00A60B94">
        <w:rPr>
          <w:rFonts w:ascii="Times New Roman" w:hAnsi="Times New Roman"/>
          <w:b/>
          <w:bCs/>
          <w:color w:val="000000"/>
          <w:sz w:val="24"/>
          <w:szCs w:val="24"/>
        </w:rPr>
        <w:t xml:space="preserve">добро ниво на </w:t>
      </w:r>
      <w:r w:rsidR="00794C13" w:rsidRPr="00A60B94">
        <w:rPr>
          <w:rFonts w:ascii="Times New Roman" w:hAnsi="Times New Roman"/>
          <w:b/>
          <w:bCs/>
          <w:color w:val="000000"/>
          <w:sz w:val="24"/>
          <w:szCs w:val="24"/>
        </w:rPr>
        <w:t>подготве</w:t>
      </w:r>
      <w:r w:rsidR="00794C13">
        <w:rPr>
          <w:rFonts w:ascii="Times New Roman" w:hAnsi="Times New Roman"/>
          <w:b/>
          <w:bCs/>
          <w:color w:val="000000"/>
          <w:sz w:val="24"/>
          <w:szCs w:val="24"/>
        </w:rPr>
        <w:t>ност</w:t>
      </w:r>
      <w:r w:rsidRPr="00A60B94">
        <w:rPr>
          <w:rFonts w:ascii="Times New Roman" w:hAnsi="Times New Roman"/>
          <w:color w:val="000000"/>
          <w:sz w:val="24"/>
          <w:szCs w:val="24"/>
        </w:rPr>
        <w:t xml:space="preserve"> во областа на науката и истражувањето. Постигнат е </w:t>
      </w:r>
      <w:r w:rsidRPr="00A60B94">
        <w:rPr>
          <w:rFonts w:ascii="Times New Roman" w:hAnsi="Times New Roman"/>
          <w:b/>
          <w:bCs/>
          <w:color w:val="000000"/>
          <w:sz w:val="24"/>
          <w:szCs w:val="24"/>
        </w:rPr>
        <w:t xml:space="preserve">одреден напредок </w:t>
      </w:r>
      <w:r w:rsidRPr="00A60B94">
        <w:rPr>
          <w:rFonts w:ascii="Times New Roman" w:hAnsi="Times New Roman"/>
          <w:color w:val="000000"/>
          <w:sz w:val="24"/>
          <w:szCs w:val="24"/>
        </w:rPr>
        <w:t xml:space="preserve">во однос на зајакнувањето на капацитетите за истражување и иновации на јавниот и приватниот сектор преку зголемување на буџетот за науката, изготвување </w:t>
      </w:r>
      <w:r>
        <w:rPr>
          <w:rFonts w:ascii="Times New Roman" w:hAnsi="Times New Roman"/>
          <w:color w:val="000000"/>
          <w:sz w:val="24"/>
          <w:szCs w:val="24"/>
        </w:rPr>
        <w:t xml:space="preserve">на </w:t>
      </w:r>
      <w:r w:rsidRPr="00A60B94">
        <w:rPr>
          <w:rFonts w:ascii="Times New Roman" w:hAnsi="Times New Roman"/>
          <w:color w:val="000000"/>
          <w:sz w:val="24"/>
          <w:szCs w:val="24"/>
        </w:rPr>
        <w:t>Стратегија</w:t>
      </w:r>
      <w:r>
        <w:rPr>
          <w:rFonts w:ascii="Times New Roman" w:hAnsi="Times New Roman"/>
          <w:color w:val="000000"/>
          <w:sz w:val="24"/>
          <w:szCs w:val="24"/>
        </w:rPr>
        <w:t>та</w:t>
      </w:r>
      <w:r w:rsidRPr="00A60B94">
        <w:rPr>
          <w:rFonts w:ascii="Times New Roman" w:hAnsi="Times New Roman"/>
          <w:color w:val="000000"/>
          <w:sz w:val="24"/>
          <w:szCs w:val="24"/>
        </w:rPr>
        <w:t xml:space="preserve"> за паметна специјализација што допрва треба да се донесе и преку постојано подобрување на учеството во Хоризонт Европа. Некои од препораките од минатата година важат и за годинава.</w:t>
      </w:r>
    </w:p>
    <w:p w:rsidR="006B3D9A" w:rsidRPr="00A60B94" w:rsidRDefault="006B3D9A"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Во текот на наредната година земјата треба:</w:t>
      </w:r>
    </w:p>
    <w:p w:rsidR="006B3D9A" w:rsidRPr="00A60B94" w:rsidRDefault="006B3D9A"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w:t>
      </w:r>
      <w:r w:rsidRPr="00A60B94">
        <w:rPr>
          <w:rFonts w:ascii="Times New Roman" w:hAnsi="Times New Roman"/>
          <w:color w:val="000000"/>
          <w:sz w:val="24"/>
          <w:szCs w:val="24"/>
        </w:rPr>
        <w:tab/>
        <w:t>да ги зголеми инвестициите во истражување</w:t>
      </w:r>
      <w:r>
        <w:rPr>
          <w:rFonts w:ascii="Times New Roman" w:hAnsi="Times New Roman"/>
          <w:color w:val="000000"/>
          <w:sz w:val="24"/>
          <w:szCs w:val="24"/>
        </w:rPr>
        <w:t>то</w:t>
      </w:r>
      <w:r w:rsidRPr="00A60B94">
        <w:rPr>
          <w:rFonts w:ascii="Times New Roman" w:hAnsi="Times New Roman"/>
          <w:color w:val="000000"/>
          <w:sz w:val="24"/>
          <w:szCs w:val="24"/>
        </w:rPr>
        <w:t xml:space="preserve"> во согласност со приоритетите на Европската истражувачка област;</w:t>
      </w:r>
    </w:p>
    <w:p w:rsidR="006B3D9A" w:rsidRPr="00A60B94" w:rsidRDefault="006B3D9A"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w:t>
      </w:r>
      <w:r w:rsidRPr="00A60B94">
        <w:rPr>
          <w:rFonts w:ascii="Times New Roman" w:hAnsi="Times New Roman"/>
          <w:color w:val="000000"/>
          <w:sz w:val="24"/>
          <w:szCs w:val="24"/>
        </w:rPr>
        <w:tab/>
        <w:t xml:space="preserve">да изготви наменски мерки со цел промовирање и зголемување на учеството во Хоризонт Европа и </w:t>
      </w:r>
      <w:r>
        <w:rPr>
          <w:rFonts w:ascii="Times New Roman" w:hAnsi="Times New Roman"/>
          <w:color w:val="000000"/>
          <w:sz w:val="24"/>
          <w:szCs w:val="24"/>
        </w:rPr>
        <w:t xml:space="preserve">во </w:t>
      </w:r>
      <w:r w:rsidRPr="00A60B94">
        <w:rPr>
          <w:rFonts w:ascii="Times New Roman" w:hAnsi="Times New Roman"/>
          <w:color w:val="000000"/>
          <w:sz w:val="24"/>
          <w:szCs w:val="24"/>
        </w:rPr>
        <w:t>другите релевантни финансиски инструменти на ЕУ во оваа област;</w:t>
      </w:r>
    </w:p>
    <w:p w:rsidR="006B3D9A" w:rsidRPr="00A60B94" w:rsidRDefault="006B3D9A"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w:t>
      </w:r>
      <w:r w:rsidRPr="00A60B94">
        <w:rPr>
          <w:rFonts w:ascii="Times New Roman" w:hAnsi="Times New Roman"/>
          <w:color w:val="000000"/>
          <w:sz w:val="24"/>
          <w:szCs w:val="24"/>
        </w:rPr>
        <w:tab/>
        <w:t>да ја донесе Стратегијата за паметна специјализација и да почне да изготвува мерки за нејзино спроведување.</w:t>
      </w:r>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 xml:space="preserve">Постигнат е одреден напредок во усогласувањето со европските стандарди за </w:t>
      </w:r>
      <w:r w:rsidRPr="00A60B94">
        <w:rPr>
          <w:rFonts w:ascii="Times New Roman" w:hAnsi="Times New Roman"/>
          <w:b/>
          <w:bCs/>
          <w:color w:val="000000"/>
          <w:sz w:val="24"/>
          <w:szCs w:val="24"/>
        </w:rPr>
        <w:t>истражување и иновации</w:t>
      </w:r>
      <w:r w:rsidRPr="00A60B94">
        <w:rPr>
          <w:rFonts w:ascii="Times New Roman" w:hAnsi="Times New Roman"/>
          <w:color w:val="000000"/>
          <w:sz w:val="24"/>
          <w:szCs w:val="24"/>
        </w:rPr>
        <w:t>. Буџетот за наука во 2022 и 2023 година значително е зголем</w:t>
      </w:r>
      <w:r>
        <w:rPr>
          <w:rFonts w:ascii="Times New Roman" w:hAnsi="Times New Roman"/>
          <w:color w:val="000000"/>
          <w:sz w:val="24"/>
          <w:szCs w:val="24"/>
        </w:rPr>
        <w:t>ен</w:t>
      </w:r>
      <w:r w:rsidRPr="00A60B94">
        <w:rPr>
          <w:rFonts w:ascii="Times New Roman" w:hAnsi="Times New Roman"/>
          <w:color w:val="000000"/>
          <w:sz w:val="24"/>
          <w:szCs w:val="24"/>
        </w:rPr>
        <w:t xml:space="preserve"> во споредба со 2021 година (на приближно 3,5 милиони евра од 1,3 милиони евра). Меѓутоа, инвестициите во истражувањето и иновациите сè уште се ниски и изнесуваат 0,38</w:t>
      </w:r>
      <w:r>
        <w:rPr>
          <w:rFonts w:ascii="Times New Roman" w:hAnsi="Times New Roman"/>
          <w:color w:val="000000"/>
          <w:sz w:val="24"/>
          <w:szCs w:val="24"/>
        </w:rPr>
        <w:t xml:space="preserve"> </w:t>
      </w:r>
      <w:r w:rsidRPr="00A60B94">
        <w:rPr>
          <w:rFonts w:ascii="Times New Roman" w:hAnsi="Times New Roman"/>
          <w:color w:val="000000"/>
          <w:sz w:val="24"/>
          <w:szCs w:val="24"/>
        </w:rPr>
        <w:t>% од БДП</w:t>
      </w:r>
      <w:r w:rsidRPr="00A60B94">
        <w:rPr>
          <w:rFonts w:ascii="Times New Roman" w:hAnsi="Times New Roman"/>
          <w:i/>
          <w:iCs/>
          <w:color w:val="000000"/>
          <w:sz w:val="24"/>
          <w:szCs w:val="24"/>
        </w:rPr>
        <w:t xml:space="preserve">, </w:t>
      </w:r>
      <w:r w:rsidRPr="00A60B94">
        <w:rPr>
          <w:rFonts w:ascii="Times New Roman" w:hAnsi="Times New Roman"/>
          <w:color w:val="000000"/>
          <w:sz w:val="24"/>
          <w:szCs w:val="24"/>
        </w:rPr>
        <w:t>а учеството на приватниот сектор во севкупните истражувања е уште пониско и изнесува 0,1</w:t>
      </w:r>
      <w:r>
        <w:rPr>
          <w:rFonts w:ascii="Times New Roman" w:hAnsi="Times New Roman"/>
          <w:color w:val="000000"/>
          <w:sz w:val="24"/>
          <w:szCs w:val="24"/>
        </w:rPr>
        <w:t xml:space="preserve"> </w:t>
      </w:r>
      <w:r w:rsidRPr="00A60B94">
        <w:rPr>
          <w:rFonts w:ascii="Times New Roman" w:hAnsi="Times New Roman"/>
          <w:color w:val="000000"/>
          <w:sz w:val="24"/>
          <w:szCs w:val="24"/>
        </w:rPr>
        <w:t>% од БДП.</w:t>
      </w:r>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 xml:space="preserve">Учеството на земјата во </w:t>
      </w:r>
      <w:r w:rsidRPr="00A60B94">
        <w:rPr>
          <w:rFonts w:ascii="Times New Roman" w:hAnsi="Times New Roman"/>
          <w:b/>
          <w:bCs/>
          <w:color w:val="000000"/>
          <w:sz w:val="24"/>
          <w:szCs w:val="24"/>
        </w:rPr>
        <w:t xml:space="preserve">Хоризонт Европа, </w:t>
      </w:r>
      <w:r w:rsidRPr="00A60B94">
        <w:rPr>
          <w:rFonts w:ascii="Times New Roman" w:hAnsi="Times New Roman"/>
          <w:color w:val="000000"/>
          <w:sz w:val="24"/>
          <w:szCs w:val="24"/>
        </w:rPr>
        <w:t xml:space="preserve">рамковна програма за истражувањe и иновации на ЕУ, </w:t>
      </w:r>
      <w:r>
        <w:rPr>
          <w:rFonts w:ascii="Times New Roman" w:hAnsi="Times New Roman"/>
          <w:color w:val="000000"/>
          <w:sz w:val="24"/>
          <w:szCs w:val="24"/>
        </w:rPr>
        <w:t>продолжи да расте</w:t>
      </w:r>
      <w:r w:rsidRPr="00A60B94">
        <w:rPr>
          <w:rFonts w:ascii="Times New Roman" w:hAnsi="Times New Roman"/>
          <w:i/>
          <w:iCs/>
          <w:color w:val="000000"/>
          <w:sz w:val="24"/>
          <w:szCs w:val="24"/>
        </w:rPr>
        <w:t xml:space="preserve"> </w:t>
      </w:r>
      <w:r w:rsidRPr="00A60B94">
        <w:rPr>
          <w:rFonts w:ascii="Times New Roman" w:hAnsi="Times New Roman"/>
          <w:color w:val="000000"/>
          <w:sz w:val="24"/>
          <w:szCs w:val="24"/>
        </w:rPr>
        <w:t>и достигна 10 проекти финансирани со 4 милиони евра во 2022 година (според расположливоста на податоците на датумот на објавувањето), со што ги надмина целокупните перформанси од 2021 година</w:t>
      </w:r>
      <w:r w:rsidRPr="00A60B94">
        <w:rPr>
          <w:rFonts w:ascii="Times New Roman" w:hAnsi="Times New Roman"/>
          <w:i/>
          <w:iCs/>
          <w:color w:val="000000"/>
          <w:sz w:val="24"/>
          <w:szCs w:val="24"/>
        </w:rPr>
        <w:t xml:space="preserve">. </w:t>
      </w:r>
      <w:r w:rsidRPr="00A60B94">
        <w:rPr>
          <w:rFonts w:ascii="Times New Roman" w:hAnsi="Times New Roman"/>
          <w:color w:val="000000"/>
          <w:sz w:val="24"/>
          <w:szCs w:val="24"/>
        </w:rPr>
        <w:t xml:space="preserve">Надлежните органи мора да го зајакнат </w:t>
      </w:r>
      <w:r>
        <w:rPr>
          <w:rFonts w:ascii="Times New Roman" w:hAnsi="Times New Roman"/>
          <w:color w:val="000000"/>
          <w:sz w:val="24"/>
          <w:szCs w:val="24"/>
        </w:rPr>
        <w:t>своето</w:t>
      </w:r>
      <w:r w:rsidRPr="00A60B94">
        <w:rPr>
          <w:rFonts w:ascii="Times New Roman" w:hAnsi="Times New Roman"/>
          <w:color w:val="000000"/>
          <w:sz w:val="24"/>
          <w:szCs w:val="24"/>
        </w:rPr>
        <w:t xml:space="preserve"> учество во новата Европска истражувачка област и во новата Европска агенда за иновации. Не е забележан напредок во однос на Европската повелба за истражувачи, Кодексот на однесување за вработување истражувачи и бројот на лого</w:t>
      </w:r>
      <w:r>
        <w:rPr>
          <w:rFonts w:ascii="Times New Roman" w:hAnsi="Times New Roman"/>
          <w:color w:val="000000"/>
          <w:sz w:val="24"/>
          <w:szCs w:val="24"/>
        </w:rPr>
        <w:t>а</w:t>
      </w:r>
      <w:r w:rsidRPr="00A60B94">
        <w:rPr>
          <w:rFonts w:ascii="Times New Roman" w:hAnsi="Times New Roman"/>
          <w:color w:val="000000"/>
          <w:sz w:val="24"/>
          <w:szCs w:val="24"/>
        </w:rPr>
        <w:t xml:space="preserve"> за Извонредност на ЧР во истражувањето што биле доделени во извештајниот период. Сè уште не е изготвен Националниот патоказ за трансфер на технологија.</w:t>
      </w:r>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 xml:space="preserve">Во однос на </w:t>
      </w:r>
      <w:r w:rsidRPr="00A60B94">
        <w:rPr>
          <w:rFonts w:ascii="Times New Roman" w:hAnsi="Times New Roman"/>
          <w:b/>
          <w:bCs/>
          <w:color w:val="000000"/>
          <w:sz w:val="24"/>
          <w:szCs w:val="24"/>
        </w:rPr>
        <w:t>иновациите</w:t>
      </w:r>
      <w:r w:rsidRPr="00A60B94">
        <w:rPr>
          <w:rFonts w:ascii="Times New Roman" w:hAnsi="Times New Roman"/>
          <w:color w:val="000000"/>
          <w:sz w:val="24"/>
          <w:szCs w:val="24"/>
        </w:rPr>
        <w:t xml:space="preserve">, Европската иновациска матрица </w:t>
      </w:r>
      <w:r>
        <w:rPr>
          <w:rFonts w:ascii="Times New Roman" w:hAnsi="Times New Roman"/>
          <w:color w:val="000000"/>
          <w:sz w:val="24"/>
          <w:szCs w:val="24"/>
        </w:rPr>
        <w:t xml:space="preserve">веќе </w:t>
      </w:r>
      <w:r w:rsidRPr="00A60B94">
        <w:rPr>
          <w:rFonts w:ascii="Times New Roman" w:hAnsi="Times New Roman"/>
          <w:color w:val="000000"/>
          <w:sz w:val="24"/>
          <w:szCs w:val="24"/>
        </w:rPr>
        <w:t>втора година ја класифицира Северна Македонија како „иноватор во подем“, меѓутоа забележано е подобрување на резултатите од 45,6</w:t>
      </w:r>
      <w:r>
        <w:rPr>
          <w:rFonts w:ascii="Times New Roman" w:hAnsi="Times New Roman"/>
          <w:color w:val="000000"/>
          <w:sz w:val="24"/>
          <w:szCs w:val="24"/>
        </w:rPr>
        <w:t xml:space="preserve"> </w:t>
      </w:r>
      <w:r w:rsidRPr="00A60B94">
        <w:rPr>
          <w:rFonts w:ascii="Times New Roman" w:hAnsi="Times New Roman"/>
          <w:color w:val="000000"/>
          <w:sz w:val="24"/>
          <w:szCs w:val="24"/>
        </w:rPr>
        <w:t>% во 2022 година на 46,3</w:t>
      </w:r>
      <w:r>
        <w:rPr>
          <w:rFonts w:ascii="Times New Roman" w:hAnsi="Times New Roman"/>
          <w:color w:val="000000"/>
          <w:sz w:val="24"/>
          <w:szCs w:val="24"/>
        </w:rPr>
        <w:t xml:space="preserve"> </w:t>
      </w:r>
      <w:r w:rsidRPr="00A60B94">
        <w:rPr>
          <w:rFonts w:ascii="Times New Roman" w:hAnsi="Times New Roman"/>
          <w:color w:val="000000"/>
          <w:sz w:val="24"/>
          <w:szCs w:val="24"/>
        </w:rPr>
        <w:t xml:space="preserve">% од просекот на ЕУ во 2023 година. </w:t>
      </w:r>
      <w:r>
        <w:rPr>
          <w:rFonts w:ascii="Times New Roman" w:hAnsi="Times New Roman"/>
          <w:color w:val="000000"/>
          <w:sz w:val="24"/>
          <w:szCs w:val="24"/>
        </w:rPr>
        <w:t xml:space="preserve">Во </w:t>
      </w:r>
      <w:r w:rsidRPr="00A60B94">
        <w:rPr>
          <w:rFonts w:ascii="Times New Roman" w:hAnsi="Times New Roman"/>
          <w:color w:val="000000"/>
          <w:sz w:val="24"/>
          <w:szCs w:val="24"/>
        </w:rPr>
        <w:t>2022 година Фондот за иновации и технолошки развој издвоил речиси 16,5 милиони евра за поддршка на</w:t>
      </w:r>
      <w:r w:rsidRPr="00A60B94">
        <w:rPr>
          <w:rFonts w:ascii="Times New Roman" w:hAnsi="Times New Roman"/>
          <w:sz w:val="24"/>
          <w:szCs w:val="24"/>
        </w:rPr>
        <w:t xml:space="preserve"> </w:t>
      </w:r>
      <w:r w:rsidRPr="00A60B94">
        <w:rPr>
          <w:rFonts w:ascii="Times New Roman" w:hAnsi="Times New Roman"/>
          <w:color w:val="000000"/>
          <w:sz w:val="24"/>
          <w:szCs w:val="24"/>
        </w:rPr>
        <w:t xml:space="preserve">иновации и истражување во 209 приватни компании. Заложбите на Фондот за засилување на синергијата помеѓу деловните претпријатија и академскиот свет мора да продолжат да се зголемуваат и да </w:t>
      </w:r>
      <w:r>
        <w:rPr>
          <w:rFonts w:ascii="Times New Roman" w:hAnsi="Times New Roman"/>
          <w:color w:val="000000"/>
          <w:sz w:val="24"/>
          <w:szCs w:val="24"/>
        </w:rPr>
        <w:t xml:space="preserve">му </w:t>
      </w:r>
      <w:r w:rsidRPr="00A60B94">
        <w:rPr>
          <w:rFonts w:ascii="Times New Roman" w:hAnsi="Times New Roman"/>
          <w:color w:val="000000"/>
          <w:sz w:val="24"/>
          <w:szCs w:val="24"/>
        </w:rPr>
        <w:t xml:space="preserve">се даде приоритет на олеснувањето на зелената и дигиталната транзиција. Фондот треба да се усогласи со наодите од извештајот за ревизија на усогласеност од Државниот завод за ревизија </w:t>
      </w:r>
      <w:r w:rsidR="000C694F">
        <w:rPr>
          <w:rFonts w:ascii="Times New Roman" w:hAnsi="Times New Roman"/>
          <w:color w:val="000000"/>
          <w:sz w:val="24"/>
          <w:szCs w:val="24"/>
        </w:rPr>
        <w:t>што е</w:t>
      </w:r>
      <w:r w:rsidR="0015672B">
        <w:rPr>
          <w:rFonts w:ascii="Times New Roman" w:hAnsi="Times New Roman"/>
          <w:color w:val="000000"/>
          <w:sz w:val="24"/>
          <w:szCs w:val="24"/>
        </w:rPr>
        <w:t xml:space="preserve"> </w:t>
      </w:r>
      <w:r w:rsidRPr="00A60B94">
        <w:rPr>
          <w:rFonts w:ascii="Times New Roman" w:hAnsi="Times New Roman"/>
          <w:color w:val="000000"/>
          <w:sz w:val="24"/>
          <w:szCs w:val="24"/>
        </w:rPr>
        <w:t>објавен во декември 2022 година. Надлежните органи треба да дадат дополнителна поддршка за соработката помеѓу академскиот и бизнис</w:t>
      </w:r>
      <w:r>
        <w:rPr>
          <w:rFonts w:ascii="Times New Roman" w:hAnsi="Times New Roman"/>
          <w:color w:val="000000"/>
          <w:sz w:val="24"/>
          <w:szCs w:val="24"/>
        </w:rPr>
        <w:t>-</w:t>
      </w:r>
      <w:r w:rsidRPr="00A60B94">
        <w:rPr>
          <w:rFonts w:ascii="Times New Roman" w:hAnsi="Times New Roman"/>
          <w:color w:val="000000"/>
          <w:sz w:val="24"/>
          <w:szCs w:val="24"/>
        </w:rPr>
        <w:t xml:space="preserve">секторот. Европскиот институт за иновации и технологија (ЕИТ) соопшти дека во иницијативата за високо образование на ЕИТ од 2023 година две високообразовни институции од Северна Македонија се одобрени за финансирање како полноправни партнери </w:t>
      </w:r>
      <w:r>
        <w:rPr>
          <w:rFonts w:ascii="Times New Roman" w:hAnsi="Times New Roman"/>
          <w:color w:val="000000"/>
          <w:sz w:val="24"/>
          <w:szCs w:val="24"/>
        </w:rPr>
        <w:t>на</w:t>
      </w:r>
      <w:r w:rsidRPr="00A60B94">
        <w:rPr>
          <w:rFonts w:ascii="Times New Roman" w:hAnsi="Times New Roman"/>
          <w:color w:val="000000"/>
          <w:sz w:val="24"/>
          <w:szCs w:val="24"/>
        </w:rPr>
        <w:t xml:space="preserve"> големи конзорциуми.</w:t>
      </w:r>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sidRPr="00A60B94">
        <w:rPr>
          <w:rFonts w:ascii="Times New Roman" w:hAnsi="Times New Roman"/>
          <w:b/>
          <w:bCs/>
          <w:color w:val="000000"/>
          <w:sz w:val="24"/>
          <w:szCs w:val="24"/>
        </w:rPr>
        <w:t xml:space="preserve">Стратегијата за паметна специјализација, </w:t>
      </w:r>
      <w:r w:rsidRPr="00A60B94">
        <w:rPr>
          <w:rFonts w:ascii="Times New Roman" w:hAnsi="Times New Roman"/>
          <w:color w:val="000000"/>
          <w:sz w:val="24"/>
          <w:szCs w:val="24"/>
        </w:rPr>
        <w:t>глав</w:t>
      </w:r>
      <w:r>
        <w:rPr>
          <w:rFonts w:ascii="Times New Roman" w:hAnsi="Times New Roman"/>
          <w:color w:val="000000"/>
          <w:sz w:val="24"/>
          <w:szCs w:val="24"/>
        </w:rPr>
        <w:t>ен</w:t>
      </w:r>
      <w:r w:rsidRPr="00A60B94">
        <w:rPr>
          <w:rFonts w:ascii="Times New Roman" w:hAnsi="Times New Roman"/>
          <w:color w:val="000000"/>
          <w:sz w:val="24"/>
          <w:szCs w:val="24"/>
        </w:rPr>
        <w:t xml:space="preserve"> документ за политики во областа на иновации и истражување со јасни и конкретни приоритети за секој сектор, сè уште не е донесена, а треба да обезбеди заштитна рамка за ефикасно користење на средствата за истражување и иновации.</w:t>
      </w:r>
    </w:p>
    <w:p w:rsidR="006B3D9A" w:rsidRPr="00A60B94" w:rsidRDefault="006B3D9A" w:rsidP="00A661C4">
      <w:pPr>
        <w:pStyle w:val="Heading2"/>
      </w:pPr>
      <w:bookmarkStart w:id="84" w:name="bookmark51"/>
      <w:bookmarkStart w:id="85" w:name="_Toc150864277"/>
      <w:r w:rsidRPr="00A60B94">
        <w:t>П</w:t>
      </w:r>
      <w:bookmarkEnd w:id="84"/>
      <w:r w:rsidRPr="00A60B94">
        <w:t>оглавје 26: Образование и култура</w:t>
      </w:r>
      <w:bookmarkEnd w:id="85"/>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sidRPr="00A60B94">
        <w:rPr>
          <w:rFonts w:ascii="Times New Roman" w:hAnsi="Times New Roman"/>
          <w:i/>
          <w:iCs/>
          <w:color w:val="000000"/>
          <w:sz w:val="24"/>
          <w:szCs w:val="24"/>
        </w:rPr>
        <w:t>ЕУ ја поддржува соработката во образованието и културата преку програми за финансирање и координација на политиките на земјите членки преку „отворен метод на координација“. ЕУ и земјите членки, исто така, мора да спречат дискриминација и да обезбедат квалитетно образование за децата на работниците мигранти, вклуч</w:t>
      </w:r>
      <w:r>
        <w:rPr>
          <w:rFonts w:ascii="Times New Roman" w:hAnsi="Times New Roman"/>
          <w:i/>
          <w:iCs/>
          <w:color w:val="000000"/>
          <w:sz w:val="24"/>
          <w:szCs w:val="24"/>
        </w:rPr>
        <w:t>ително</w:t>
      </w:r>
      <w:r w:rsidRPr="00A60B94">
        <w:rPr>
          <w:rFonts w:ascii="Times New Roman" w:hAnsi="Times New Roman"/>
          <w:i/>
          <w:iCs/>
          <w:color w:val="000000"/>
          <w:sz w:val="24"/>
          <w:szCs w:val="24"/>
        </w:rPr>
        <w:t xml:space="preserve"> и оние од обесправени средини.</w:t>
      </w:r>
    </w:p>
    <w:p w:rsidR="006B3D9A" w:rsidRPr="00A60B94" w:rsidRDefault="006B3D9A"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 xml:space="preserve">Во областа на образованието и културата Северна Македонија е </w:t>
      </w:r>
      <w:r w:rsidRPr="00A60B94">
        <w:rPr>
          <w:rFonts w:ascii="Times New Roman" w:hAnsi="Times New Roman"/>
          <w:b/>
          <w:bCs/>
          <w:color w:val="000000"/>
          <w:sz w:val="24"/>
          <w:szCs w:val="24"/>
        </w:rPr>
        <w:t>умерено подготвена</w:t>
      </w:r>
      <w:r w:rsidRPr="00A60B94">
        <w:rPr>
          <w:rFonts w:ascii="Times New Roman" w:hAnsi="Times New Roman"/>
          <w:color w:val="000000"/>
          <w:sz w:val="24"/>
          <w:szCs w:val="24"/>
        </w:rPr>
        <w:t xml:space="preserve">. Постигнат е </w:t>
      </w:r>
      <w:r w:rsidRPr="00A60B94">
        <w:rPr>
          <w:rFonts w:ascii="Times New Roman" w:hAnsi="Times New Roman"/>
          <w:b/>
          <w:bCs/>
          <w:color w:val="000000"/>
          <w:sz w:val="24"/>
          <w:szCs w:val="24"/>
        </w:rPr>
        <w:t xml:space="preserve">ограничен напредок </w:t>
      </w:r>
      <w:r w:rsidRPr="00A60B94">
        <w:rPr>
          <w:rFonts w:ascii="Times New Roman" w:hAnsi="Times New Roman"/>
          <w:color w:val="000000"/>
          <w:sz w:val="24"/>
          <w:szCs w:val="24"/>
        </w:rPr>
        <w:t>во извештајниот период во врска со донесувањето и воведувањето насоки и програми за зајакнување на инклузивноста и промовирање на зелените вештини. Спроведувањето на Стратегијата за образование 2018-2025 година сè уште е бавно, како и развојот на соодветен систем за следење. Донесувањето на клучното законодавство повторно е одложено.</w:t>
      </w:r>
    </w:p>
    <w:p w:rsidR="006B3D9A" w:rsidRPr="00A60B94" w:rsidRDefault="006B3D9A"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Сè уште важат препораките од извештајот од минатата година. Во наредната година Северна Македонија особено</w:t>
      </w:r>
      <w:r w:rsidRPr="00743887">
        <w:rPr>
          <w:rFonts w:ascii="Times New Roman" w:hAnsi="Times New Roman"/>
          <w:color w:val="000000"/>
          <w:sz w:val="24"/>
          <w:szCs w:val="24"/>
        </w:rPr>
        <w:t xml:space="preserve"> </w:t>
      </w:r>
      <w:r w:rsidRPr="00A60B94">
        <w:rPr>
          <w:rFonts w:ascii="Times New Roman" w:hAnsi="Times New Roman"/>
          <w:color w:val="000000"/>
          <w:sz w:val="24"/>
          <w:szCs w:val="24"/>
        </w:rPr>
        <w:t>треба:</w:t>
      </w:r>
    </w:p>
    <w:p w:rsidR="006B3D9A" w:rsidRPr="00A60B94" w:rsidRDefault="006B3D9A"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w:t>
      </w:r>
      <w:r w:rsidRPr="00A60B94">
        <w:rPr>
          <w:rFonts w:ascii="Times New Roman" w:hAnsi="Times New Roman"/>
          <w:color w:val="000000"/>
          <w:sz w:val="24"/>
          <w:szCs w:val="24"/>
        </w:rPr>
        <w:tab/>
        <w:t xml:space="preserve">да го финализира и </w:t>
      </w:r>
      <w:r>
        <w:rPr>
          <w:rFonts w:ascii="Times New Roman" w:hAnsi="Times New Roman"/>
          <w:color w:val="000000"/>
          <w:sz w:val="24"/>
          <w:szCs w:val="24"/>
        </w:rPr>
        <w:t xml:space="preserve">да го </w:t>
      </w:r>
      <w:r w:rsidRPr="00A60B94">
        <w:rPr>
          <w:rFonts w:ascii="Times New Roman" w:hAnsi="Times New Roman"/>
          <w:color w:val="000000"/>
          <w:sz w:val="24"/>
          <w:szCs w:val="24"/>
        </w:rPr>
        <w:t>донесе Законот за средно образование и Законот за стручно образование и обука и да ги воспостави и пушти во употреба регионалните центри за СОО;</w:t>
      </w:r>
    </w:p>
    <w:p w:rsidR="006B3D9A" w:rsidRPr="00A60B94" w:rsidRDefault="006B3D9A"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w:t>
      </w:r>
      <w:r w:rsidRPr="00A60B94">
        <w:rPr>
          <w:rFonts w:ascii="Times New Roman" w:hAnsi="Times New Roman"/>
          <w:color w:val="000000"/>
          <w:sz w:val="24"/>
          <w:szCs w:val="24"/>
        </w:rPr>
        <w:tab/>
        <w:t>да го донесе Законот за образование на возрасни;</w:t>
      </w:r>
    </w:p>
    <w:p w:rsidR="006B3D9A" w:rsidRPr="00A60B94" w:rsidRDefault="006B3D9A"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w:t>
      </w:r>
      <w:r w:rsidRPr="00A60B94">
        <w:rPr>
          <w:rFonts w:ascii="Times New Roman" w:hAnsi="Times New Roman"/>
          <w:color w:val="000000"/>
          <w:sz w:val="24"/>
          <w:szCs w:val="24"/>
        </w:rPr>
        <w:tab/>
        <w:t>да го подобри пристапот до квалитетно образование за сите, особено за децата со попреченост и децата од ромските заедници; да го зголеми уписот на деца од предучилишна возраст и да продолжи да ја зголемува поддршката за обуки и стручно усовршување на наставниците.</w:t>
      </w:r>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Стратегијата за образование 2018</w:t>
      </w:r>
      <w:r>
        <w:rPr>
          <w:rFonts w:ascii="Times New Roman" w:hAnsi="Times New Roman"/>
          <w:color w:val="000000"/>
          <w:sz w:val="24"/>
          <w:szCs w:val="24"/>
        </w:rPr>
        <w:t xml:space="preserve"> </w:t>
      </w:r>
      <w:r w:rsidRPr="00A60B94">
        <w:rPr>
          <w:rFonts w:ascii="Times New Roman" w:hAnsi="Times New Roman"/>
          <w:color w:val="000000"/>
          <w:sz w:val="24"/>
          <w:szCs w:val="24"/>
        </w:rPr>
        <w:t>-</w:t>
      </w:r>
      <w:r>
        <w:rPr>
          <w:rFonts w:ascii="Times New Roman" w:hAnsi="Times New Roman"/>
          <w:color w:val="000000"/>
          <w:sz w:val="24"/>
          <w:szCs w:val="24"/>
        </w:rPr>
        <w:t xml:space="preserve"> </w:t>
      </w:r>
      <w:r w:rsidRPr="00A60B94">
        <w:rPr>
          <w:rFonts w:ascii="Times New Roman" w:hAnsi="Times New Roman"/>
          <w:color w:val="000000"/>
          <w:sz w:val="24"/>
          <w:szCs w:val="24"/>
        </w:rPr>
        <w:t xml:space="preserve">2025 година е главен документ за уредување на образовниот сектор, но нејзините механизми за следење не се добро дефинирани. Целите и показателите треба да се подобрат за да се овозможи соодветна евалуација на спроведувањето на реформите. </w:t>
      </w:r>
      <w:r w:rsidR="00625C84">
        <w:rPr>
          <w:rFonts w:ascii="Times New Roman" w:hAnsi="Times New Roman"/>
          <w:color w:val="000000"/>
          <w:sz w:val="24"/>
          <w:szCs w:val="24"/>
        </w:rPr>
        <w:t xml:space="preserve">Органите </w:t>
      </w:r>
      <w:r w:rsidRPr="00A60B94">
        <w:rPr>
          <w:rFonts w:ascii="Times New Roman" w:hAnsi="Times New Roman"/>
          <w:color w:val="000000"/>
          <w:sz w:val="24"/>
          <w:szCs w:val="24"/>
        </w:rPr>
        <w:t xml:space="preserve">треба да ја зајакнат координацијата помеѓу институциите при изготвување на законодавството и да овозможат </w:t>
      </w:r>
      <w:r>
        <w:rPr>
          <w:rFonts w:ascii="Times New Roman" w:hAnsi="Times New Roman"/>
          <w:color w:val="000000"/>
          <w:sz w:val="24"/>
          <w:szCs w:val="24"/>
        </w:rPr>
        <w:t>соодветно</w:t>
      </w:r>
      <w:r w:rsidRPr="00A60B94">
        <w:rPr>
          <w:rFonts w:ascii="Times New Roman" w:hAnsi="Times New Roman"/>
          <w:color w:val="000000"/>
          <w:sz w:val="24"/>
          <w:szCs w:val="24"/>
        </w:rPr>
        <w:t xml:space="preserve"> институционално опкружување што ќе може да го спроведе законодавството.</w:t>
      </w:r>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 xml:space="preserve">Новиот </w:t>
      </w:r>
      <w:r w:rsidRPr="002450C7">
        <w:rPr>
          <w:rFonts w:ascii="Times New Roman" w:hAnsi="Times New Roman"/>
          <w:color w:val="000000"/>
          <w:sz w:val="24"/>
          <w:szCs w:val="24"/>
        </w:rPr>
        <w:t>Закон за стручно образование и обука</w:t>
      </w:r>
      <w:r w:rsidRPr="00A60B94">
        <w:rPr>
          <w:rFonts w:ascii="Times New Roman" w:hAnsi="Times New Roman"/>
          <w:color w:val="000000"/>
          <w:sz w:val="24"/>
          <w:szCs w:val="24"/>
        </w:rPr>
        <w:t>, кој е од клучно значење за реформата на СОО, допрва треба да се донесе. Исто така, донесувањето на законот е потребно за зајакнување на улогата на петте регионални центри за СОО (РСОО) во земјата. Воспоставена е шема за соработка помеѓу деловните компании, стручните средни училишта, стопанските комори и Министерството за образование и наука за поддршка на стажирањето на учениците во приватните компании. Во рамките на оваа шема отворени се приближно 100 паралелки за дуално образование со поддршка од јавно-приватни партнерства.</w:t>
      </w:r>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Законот за образование на возрасни сè уште не е донесен. Бирото за развој на образованието ги продолжи своите активности за Концепцијата за основно образование со изготвување наставни програми за шесто одделение врз основа на националните стандарди, вклуч</w:t>
      </w:r>
      <w:r>
        <w:rPr>
          <w:rFonts w:ascii="Times New Roman" w:hAnsi="Times New Roman"/>
          <w:color w:val="000000"/>
          <w:sz w:val="24"/>
          <w:szCs w:val="24"/>
        </w:rPr>
        <w:t>ително</w:t>
      </w:r>
      <w:r w:rsidRPr="00A60B94">
        <w:rPr>
          <w:rFonts w:ascii="Times New Roman" w:hAnsi="Times New Roman"/>
          <w:color w:val="000000"/>
          <w:sz w:val="24"/>
          <w:szCs w:val="24"/>
        </w:rPr>
        <w:t xml:space="preserve"> и обезбедување зелени вештини.</w:t>
      </w:r>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Во ноември 2022 година Министерството за образование и наука ја донесе „Концепцијата за средно образование на возрасните</w:t>
      </w:r>
      <w:r>
        <w:rPr>
          <w:rFonts w:ascii="Times New Roman" w:hAnsi="Times New Roman"/>
          <w:color w:val="000000"/>
          <w:sz w:val="24"/>
          <w:szCs w:val="24"/>
        </w:rPr>
        <w:t>,</w:t>
      </w:r>
      <w:r w:rsidRPr="00A60B94">
        <w:rPr>
          <w:rFonts w:ascii="Times New Roman" w:hAnsi="Times New Roman"/>
          <w:color w:val="000000"/>
          <w:sz w:val="24"/>
          <w:szCs w:val="24"/>
        </w:rPr>
        <w:t xml:space="preserve"> со цел да го подобри квалитетот на животот на граѓаните и да овозможи општествен развој.</w:t>
      </w:r>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 xml:space="preserve">Јавната потрошувачка за </w:t>
      </w:r>
      <w:r w:rsidRPr="00A60B94">
        <w:rPr>
          <w:rFonts w:ascii="Times New Roman" w:hAnsi="Times New Roman"/>
          <w:b/>
          <w:bCs/>
          <w:color w:val="000000"/>
          <w:sz w:val="24"/>
          <w:szCs w:val="24"/>
        </w:rPr>
        <w:t>образование и обука</w:t>
      </w:r>
      <w:r w:rsidRPr="00A60B94">
        <w:rPr>
          <w:rFonts w:ascii="Times New Roman" w:hAnsi="Times New Roman"/>
          <w:color w:val="000000"/>
          <w:sz w:val="24"/>
          <w:szCs w:val="24"/>
        </w:rPr>
        <w:t xml:space="preserve"> минимално се намали на 3,71</w:t>
      </w:r>
      <w:r>
        <w:rPr>
          <w:rFonts w:ascii="Times New Roman" w:hAnsi="Times New Roman"/>
          <w:color w:val="000000"/>
          <w:sz w:val="24"/>
          <w:szCs w:val="24"/>
        </w:rPr>
        <w:t xml:space="preserve"> </w:t>
      </w:r>
      <w:r w:rsidRPr="00A60B94">
        <w:rPr>
          <w:rFonts w:ascii="Times New Roman" w:hAnsi="Times New Roman"/>
          <w:color w:val="000000"/>
          <w:sz w:val="24"/>
          <w:szCs w:val="24"/>
        </w:rPr>
        <w:t>% од БДП во 2022 година (3,98</w:t>
      </w:r>
      <w:r>
        <w:rPr>
          <w:rFonts w:ascii="Times New Roman" w:hAnsi="Times New Roman"/>
          <w:color w:val="000000"/>
          <w:sz w:val="24"/>
          <w:szCs w:val="24"/>
        </w:rPr>
        <w:t xml:space="preserve"> </w:t>
      </w:r>
      <w:r w:rsidRPr="00A60B94">
        <w:rPr>
          <w:rFonts w:ascii="Times New Roman" w:hAnsi="Times New Roman"/>
          <w:color w:val="000000"/>
          <w:sz w:val="24"/>
          <w:szCs w:val="24"/>
        </w:rPr>
        <w:t>% во 2021 година), што сѐ уште е далеку од просекот на ЕУ од 5</w:t>
      </w:r>
      <w:r>
        <w:rPr>
          <w:rFonts w:ascii="Times New Roman" w:hAnsi="Times New Roman"/>
          <w:color w:val="000000"/>
          <w:sz w:val="24"/>
          <w:szCs w:val="24"/>
        </w:rPr>
        <w:t xml:space="preserve"> </w:t>
      </w:r>
      <w:r w:rsidRPr="00A60B94">
        <w:rPr>
          <w:rFonts w:ascii="Times New Roman" w:hAnsi="Times New Roman"/>
          <w:color w:val="000000"/>
          <w:sz w:val="24"/>
          <w:szCs w:val="24"/>
        </w:rPr>
        <w:t xml:space="preserve">%. Иако е постигнат одреден напредок во однос на предучилишното образование, вкупниот број </w:t>
      </w:r>
      <w:r>
        <w:rPr>
          <w:rFonts w:ascii="Times New Roman" w:hAnsi="Times New Roman"/>
          <w:color w:val="000000"/>
          <w:sz w:val="24"/>
          <w:szCs w:val="24"/>
        </w:rPr>
        <w:t xml:space="preserve">на </w:t>
      </w:r>
      <w:r w:rsidRPr="00A60B94">
        <w:rPr>
          <w:rFonts w:ascii="Times New Roman" w:hAnsi="Times New Roman"/>
          <w:color w:val="000000"/>
          <w:sz w:val="24"/>
          <w:szCs w:val="24"/>
        </w:rPr>
        <w:t>уписи остана понизок од регионалните стандарди и стандардите на ЕУ, особено за децата Роми. Со оглед на тоа што целта на ЕУ за образование и обука за рано детско образование и посета на центри за детско згрижување е поставена на 96</w:t>
      </w:r>
      <w:r>
        <w:rPr>
          <w:rFonts w:ascii="Times New Roman" w:hAnsi="Times New Roman"/>
          <w:color w:val="000000"/>
          <w:sz w:val="24"/>
          <w:szCs w:val="24"/>
        </w:rPr>
        <w:t xml:space="preserve"> </w:t>
      </w:r>
      <w:r w:rsidRPr="00A60B94">
        <w:rPr>
          <w:rFonts w:ascii="Times New Roman" w:hAnsi="Times New Roman"/>
          <w:color w:val="000000"/>
          <w:sz w:val="24"/>
          <w:szCs w:val="24"/>
        </w:rPr>
        <w:t>%, во 2022 година само 42</w:t>
      </w:r>
      <w:r>
        <w:rPr>
          <w:rFonts w:ascii="Times New Roman" w:hAnsi="Times New Roman"/>
          <w:color w:val="000000"/>
          <w:sz w:val="24"/>
          <w:szCs w:val="24"/>
        </w:rPr>
        <w:t xml:space="preserve"> </w:t>
      </w:r>
      <w:r w:rsidRPr="00A60B94">
        <w:rPr>
          <w:rFonts w:ascii="Times New Roman" w:hAnsi="Times New Roman"/>
          <w:color w:val="000000"/>
          <w:sz w:val="24"/>
          <w:szCs w:val="24"/>
        </w:rPr>
        <w:t xml:space="preserve">% од децата од </w:t>
      </w:r>
      <w:r>
        <w:rPr>
          <w:rFonts w:ascii="Times New Roman" w:hAnsi="Times New Roman"/>
          <w:color w:val="000000"/>
          <w:sz w:val="24"/>
          <w:szCs w:val="24"/>
        </w:rPr>
        <w:t>три до шест</w:t>
      </w:r>
      <w:r w:rsidRPr="00A60B94">
        <w:rPr>
          <w:rFonts w:ascii="Times New Roman" w:hAnsi="Times New Roman"/>
          <w:color w:val="000000"/>
          <w:sz w:val="24"/>
          <w:szCs w:val="24"/>
        </w:rPr>
        <w:t xml:space="preserve"> години биле запишани во лиценцирани установи за рано детско образование. Освен што се проширени капацитетите за предучилишното образование со цел да опфатат повеќе деца, зголемен е квалитетот на предучилишното образование.</w:t>
      </w:r>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В</w:t>
      </w:r>
      <w:r w:rsidRPr="00A60B94">
        <w:rPr>
          <w:rFonts w:ascii="Times New Roman" w:hAnsi="Times New Roman"/>
          <w:color w:val="000000"/>
          <w:sz w:val="24"/>
          <w:szCs w:val="24"/>
        </w:rPr>
        <w:t>о учебната 2021/2022 година</w:t>
      </w:r>
      <w:r w:rsidRPr="00A60B94" w:rsidDel="00A60B94">
        <w:rPr>
          <w:rFonts w:ascii="Times New Roman" w:hAnsi="Times New Roman"/>
          <w:color w:val="000000"/>
          <w:sz w:val="24"/>
          <w:szCs w:val="24"/>
        </w:rPr>
        <w:t xml:space="preserve"> </w:t>
      </w:r>
      <w:r>
        <w:rPr>
          <w:rFonts w:ascii="Times New Roman" w:hAnsi="Times New Roman"/>
          <w:color w:val="000000"/>
          <w:sz w:val="24"/>
          <w:szCs w:val="24"/>
        </w:rPr>
        <w:t>в</w:t>
      </w:r>
      <w:r w:rsidRPr="00A60B94">
        <w:rPr>
          <w:rFonts w:ascii="Times New Roman" w:hAnsi="Times New Roman"/>
          <w:color w:val="000000"/>
          <w:sz w:val="24"/>
          <w:szCs w:val="24"/>
        </w:rPr>
        <w:t>о основно образование биле запишани 96,63</w:t>
      </w:r>
      <w:r>
        <w:rPr>
          <w:rFonts w:ascii="Times New Roman" w:hAnsi="Times New Roman"/>
          <w:color w:val="000000"/>
          <w:sz w:val="24"/>
          <w:szCs w:val="24"/>
        </w:rPr>
        <w:t xml:space="preserve"> </w:t>
      </w:r>
      <w:r w:rsidRPr="00A60B94">
        <w:rPr>
          <w:rFonts w:ascii="Times New Roman" w:hAnsi="Times New Roman"/>
          <w:color w:val="000000"/>
          <w:sz w:val="24"/>
          <w:szCs w:val="24"/>
        </w:rPr>
        <w:t>% од децата (од кои 51,46</w:t>
      </w:r>
      <w:r>
        <w:rPr>
          <w:rFonts w:ascii="Times New Roman" w:hAnsi="Times New Roman"/>
          <w:color w:val="000000"/>
          <w:sz w:val="24"/>
          <w:szCs w:val="24"/>
        </w:rPr>
        <w:t xml:space="preserve"> </w:t>
      </w:r>
      <w:r w:rsidRPr="00A60B94">
        <w:rPr>
          <w:rFonts w:ascii="Times New Roman" w:hAnsi="Times New Roman"/>
          <w:color w:val="000000"/>
          <w:sz w:val="24"/>
          <w:szCs w:val="24"/>
        </w:rPr>
        <w:t>% машки, а 48,54</w:t>
      </w:r>
      <w:r>
        <w:rPr>
          <w:rFonts w:ascii="Times New Roman" w:hAnsi="Times New Roman"/>
          <w:color w:val="000000"/>
          <w:sz w:val="24"/>
          <w:szCs w:val="24"/>
        </w:rPr>
        <w:t xml:space="preserve"> </w:t>
      </w:r>
      <w:r w:rsidRPr="00A60B94">
        <w:rPr>
          <w:rFonts w:ascii="Times New Roman" w:hAnsi="Times New Roman"/>
          <w:color w:val="000000"/>
          <w:sz w:val="24"/>
          <w:szCs w:val="24"/>
        </w:rPr>
        <w:t>% женски деца) и во средно образование 85,59</w:t>
      </w:r>
      <w:r>
        <w:rPr>
          <w:rFonts w:ascii="Times New Roman" w:hAnsi="Times New Roman"/>
          <w:color w:val="000000"/>
          <w:sz w:val="24"/>
          <w:szCs w:val="24"/>
        </w:rPr>
        <w:t xml:space="preserve"> </w:t>
      </w:r>
      <w:r w:rsidRPr="00A60B94">
        <w:rPr>
          <w:rFonts w:ascii="Times New Roman" w:hAnsi="Times New Roman"/>
          <w:color w:val="000000"/>
          <w:sz w:val="24"/>
          <w:szCs w:val="24"/>
        </w:rPr>
        <w:t>% (од кои 49</w:t>
      </w:r>
      <w:r>
        <w:rPr>
          <w:rFonts w:ascii="Times New Roman" w:hAnsi="Times New Roman"/>
          <w:color w:val="000000"/>
          <w:sz w:val="24"/>
          <w:szCs w:val="24"/>
        </w:rPr>
        <w:t xml:space="preserve"> </w:t>
      </w:r>
      <w:r w:rsidRPr="00A60B94">
        <w:rPr>
          <w:rFonts w:ascii="Times New Roman" w:hAnsi="Times New Roman"/>
          <w:color w:val="000000"/>
          <w:sz w:val="24"/>
          <w:szCs w:val="24"/>
        </w:rPr>
        <w:t>% женски, а 51</w:t>
      </w:r>
      <w:r>
        <w:rPr>
          <w:rFonts w:ascii="Times New Roman" w:hAnsi="Times New Roman"/>
          <w:color w:val="000000"/>
          <w:sz w:val="24"/>
          <w:szCs w:val="24"/>
        </w:rPr>
        <w:t xml:space="preserve"> </w:t>
      </w:r>
      <w:r w:rsidRPr="00A60B94">
        <w:rPr>
          <w:rFonts w:ascii="Times New Roman" w:hAnsi="Times New Roman"/>
          <w:color w:val="000000"/>
          <w:sz w:val="24"/>
          <w:szCs w:val="24"/>
        </w:rPr>
        <w:t xml:space="preserve">% машки деца). Во високото образование вкупниот број на уписи останува низок. Бројот на студенти запишани на прва година студии бележи опаѓање во последниве </w:t>
      </w:r>
      <w:r>
        <w:rPr>
          <w:rFonts w:ascii="Times New Roman" w:hAnsi="Times New Roman"/>
          <w:color w:val="000000"/>
          <w:sz w:val="24"/>
          <w:szCs w:val="24"/>
        </w:rPr>
        <w:t>три</w:t>
      </w:r>
      <w:r w:rsidRPr="00A60B94">
        <w:rPr>
          <w:rFonts w:ascii="Times New Roman" w:hAnsi="Times New Roman"/>
          <w:color w:val="000000"/>
          <w:sz w:val="24"/>
          <w:szCs w:val="24"/>
        </w:rPr>
        <w:t xml:space="preserve"> години.</w:t>
      </w:r>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 xml:space="preserve">Иако Северна Македонија презеде чекори за дигитална трансформација на системот за образование и обука, а дигиталните вештини се обработуваат во текот на целото основно и средно образование на мултидисциплинарен начин или на предметот информатика, </w:t>
      </w:r>
      <w:r w:rsidR="00EF10B7">
        <w:rPr>
          <w:rFonts w:ascii="Times New Roman" w:hAnsi="Times New Roman"/>
          <w:color w:val="000000"/>
          <w:sz w:val="24"/>
          <w:szCs w:val="24"/>
        </w:rPr>
        <w:t>органите</w:t>
      </w:r>
      <w:r w:rsidRPr="00A60B94">
        <w:rPr>
          <w:rFonts w:ascii="Times New Roman" w:hAnsi="Times New Roman"/>
          <w:color w:val="000000"/>
          <w:sz w:val="24"/>
          <w:szCs w:val="24"/>
        </w:rPr>
        <w:t xml:space="preserve"> треба да продолжат со зајакнување на заложбите кон ефективна, доследна и инклузивна дигитална трансформација на системот за образование и обука во Северна Македонија, вклуч</w:t>
      </w:r>
      <w:r>
        <w:rPr>
          <w:rFonts w:ascii="Times New Roman" w:hAnsi="Times New Roman"/>
          <w:color w:val="000000"/>
          <w:sz w:val="24"/>
          <w:szCs w:val="24"/>
        </w:rPr>
        <w:t>ително</w:t>
      </w:r>
      <w:r w:rsidRPr="00A60B94">
        <w:rPr>
          <w:rFonts w:ascii="Times New Roman" w:hAnsi="Times New Roman"/>
          <w:color w:val="000000"/>
          <w:sz w:val="24"/>
          <w:szCs w:val="24"/>
        </w:rPr>
        <w:t xml:space="preserve"> и капацитетот на системите за развој на дигитални вештини.</w:t>
      </w:r>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 xml:space="preserve">Земјата учествуваше во меѓународни процени на образовниот систем (ТАЛИС 2022 година, ПИСА 2022 година) во извештајниот период. Северна Македонија не учествува во ICILS (Меѓународна студија за компјутерска и информациска писменост). Земјата продолжува </w:t>
      </w:r>
      <w:r>
        <w:rPr>
          <w:rFonts w:ascii="Times New Roman" w:hAnsi="Times New Roman"/>
          <w:color w:val="000000"/>
          <w:sz w:val="24"/>
          <w:szCs w:val="24"/>
        </w:rPr>
        <w:t xml:space="preserve">да учествува </w:t>
      </w:r>
      <w:r w:rsidRPr="00A60B94">
        <w:rPr>
          <w:rFonts w:ascii="Times New Roman" w:hAnsi="Times New Roman"/>
          <w:color w:val="000000"/>
          <w:sz w:val="24"/>
          <w:szCs w:val="24"/>
        </w:rPr>
        <w:t>во работните групи на Европскиот образовен простор (ЕОП) 2021</w:t>
      </w:r>
      <w:r>
        <w:rPr>
          <w:rFonts w:ascii="Times New Roman" w:hAnsi="Times New Roman"/>
          <w:color w:val="000000"/>
          <w:sz w:val="24"/>
          <w:szCs w:val="24"/>
        </w:rPr>
        <w:t xml:space="preserve"> - </w:t>
      </w:r>
      <w:r w:rsidRPr="00A60B94">
        <w:rPr>
          <w:rFonts w:ascii="Times New Roman" w:hAnsi="Times New Roman"/>
          <w:color w:val="000000"/>
          <w:sz w:val="24"/>
          <w:szCs w:val="24"/>
        </w:rPr>
        <w:t>2025 година.</w:t>
      </w:r>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Националната агенција за европски образовни програми и мобилност организира и поддржа над 100 активности и настани за млади луѓе. Бројот на учесници во финансираните проекти за младинска размена изнесувал 465 во 2022 година (во споредба со 294 во 2020 година).</w:t>
      </w:r>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Северна Македонија продолжи да учествува во Еразмус+ и Европскиот солидарен корпус, а исто така учествуваше и на повикот за предлози за иницијативата за европските универзитети, при што еден универзитет доби грант како дел од успеш</w:t>
      </w:r>
      <w:r>
        <w:rPr>
          <w:rFonts w:ascii="Times New Roman" w:hAnsi="Times New Roman"/>
          <w:color w:val="000000"/>
          <w:sz w:val="24"/>
          <w:szCs w:val="24"/>
        </w:rPr>
        <w:t>на алијанса</w:t>
      </w:r>
      <w:r w:rsidRPr="00A60B94">
        <w:rPr>
          <w:rFonts w:ascii="Times New Roman" w:hAnsi="Times New Roman"/>
          <w:color w:val="000000"/>
          <w:sz w:val="24"/>
          <w:szCs w:val="24"/>
        </w:rPr>
        <w:t>. Северна Македонија учествува во работните групи на Европскиот образовен простор 2021 - 2025 година.</w:t>
      </w:r>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 xml:space="preserve">Во однос на </w:t>
      </w:r>
      <w:r w:rsidRPr="00A60B94">
        <w:rPr>
          <w:rFonts w:ascii="Times New Roman" w:hAnsi="Times New Roman"/>
          <w:b/>
          <w:bCs/>
          <w:color w:val="000000"/>
          <w:sz w:val="24"/>
          <w:szCs w:val="24"/>
        </w:rPr>
        <w:t xml:space="preserve">инклузивноста, </w:t>
      </w:r>
      <w:r w:rsidRPr="00A60B94">
        <w:rPr>
          <w:rFonts w:ascii="Times New Roman" w:hAnsi="Times New Roman"/>
          <w:color w:val="000000"/>
          <w:sz w:val="24"/>
          <w:szCs w:val="24"/>
        </w:rPr>
        <w:t>во октомври 2022 година започна спроведувањето на модифицирана програма за ученици со комплексни потреби. Бирото за развој на образованието изготви насоки за изработка и спроведување на модифицирана наставна програма за ученици во основно образование со комплексни потреби. Бирото</w:t>
      </w:r>
      <w:r>
        <w:rPr>
          <w:rFonts w:ascii="Times New Roman" w:hAnsi="Times New Roman"/>
          <w:color w:val="000000"/>
          <w:sz w:val="24"/>
          <w:szCs w:val="24"/>
        </w:rPr>
        <w:t>,</w:t>
      </w:r>
      <w:r w:rsidRPr="00A60B94">
        <w:rPr>
          <w:rFonts w:ascii="Times New Roman" w:hAnsi="Times New Roman"/>
          <w:color w:val="000000"/>
          <w:sz w:val="24"/>
          <w:szCs w:val="24"/>
        </w:rPr>
        <w:t xml:space="preserve"> исто така</w:t>
      </w:r>
      <w:r>
        <w:rPr>
          <w:rFonts w:ascii="Times New Roman" w:hAnsi="Times New Roman"/>
          <w:color w:val="000000"/>
          <w:sz w:val="24"/>
          <w:szCs w:val="24"/>
        </w:rPr>
        <w:t>,</w:t>
      </w:r>
      <w:r w:rsidRPr="00A60B94">
        <w:rPr>
          <w:rFonts w:ascii="Times New Roman" w:hAnsi="Times New Roman"/>
          <w:color w:val="000000"/>
          <w:sz w:val="24"/>
          <w:szCs w:val="24"/>
        </w:rPr>
        <w:t xml:space="preserve"> изготви два модула за обука за инклузивни училишни тимови, а курсевите се спроведуваа онлајн. Бројот на ромски образовни медијатори дополнително се </w:t>
      </w:r>
      <w:r>
        <w:rPr>
          <w:rFonts w:ascii="Times New Roman" w:hAnsi="Times New Roman"/>
          <w:color w:val="000000"/>
          <w:sz w:val="24"/>
          <w:szCs w:val="24"/>
        </w:rPr>
        <w:t>зголемил</w:t>
      </w:r>
      <w:r w:rsidRPr="00A60B94">
        <w:rPr>
          <w:rFonts w:ascii="Times New Roman" w:hAnsi="Times New Roman"/>
          <w:color w:val="000000"/>
          <w:sz w:val="24"/>
          <w:szCs w:val="24"/>
        </w:rPr>
        <w:t xml:space="preserve"> на 40 од 35 во 2021 година, чии услуги </w:t>
      </w:r>
      <w:r>
        <w:rPr>
          <w:rFonts w:ascii="Times New Roman" w:hAnsi="Times New Roman"/>
          <w:color w:val="000000"/>
          <w:sz w:val="24"/>
          <w:szCs w:val="24"/>
        </w:rPr>
        <w:t xml:space="preserve">им </w:t>
      </w:r>
      <w:r w:rsidRPr="00A60B94">
        <w:rPr>
          <w:rFonts w:ascii="Times New Roman" w:hAnsi="Times New Roman"/>
          <w:color w:val="000000"/>
          <w:sz w:val="24"/>
          <w:szCs w:val="24"/>
        </w:rPr>
        <w:t xml:space="preserve">се на располагање на 28 општини, во споредба со 26 во 2021 година. Во високото образование </w:t>
      </w:r>
      <w:r w:rsidR="00EF10B7">
        <w:rPr>
          <w:rFonts w:ascii="Times New Roman" w:hAnsi="Times New Roman"/>
          <w:color w:val="000000"/>
          <w:sz w:val="24"/>
          <w:szCs w:val="24"/>
        </w:rPr>
        <w:t>органите</w:t>
      </w:r>
      <w:r w:rsidRPr="00A60B94">
        <w:rPr>
          <w:rFonts w:ascii="Times New Roman" w:hAnsi="Times New Roman"/>
          <w:color w:val="000000"/>
          <w:sz w:val="24"/>
          <w:szCs w:val="24"/>
        </w:rPr>
        <w:t xml:space="preserve"> </w:t>
      </w:r>
      <w:r>
        <w:rPr>
          <w:rFonts w:ascii="Times New Roman" w:hAnsi="Times New Roman"/>
          <w:color w:val="000000"/>
          <w:sz w:val="24"/>
          <w:szCs w:val="24"/>
        </w:rPr>
        <w:t xml:space="preserve">им </w:t>
      </w:r>
      <w:r w:rsidRPr="00A60B94">
        <w:rPr>
          <w:rFonts w:ascii="Times New Roman" w:hAnsi="Times New Roman"/>
          <w:color w:val="000000"/>
          <w:sz w:val="24"/>
          <w:szCs w:val="24"/>
        </w:rPr>
        <w:t>доделија 135 стипендии на студенти Роми. Во извештајниот период 450 стипендии им беа доделени на деца во основното образование за поддршка на инклузивноста.</w:t>
      </w:r>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 xml:space="preserve">Во однос на </w:t>
      </w:r>
      <w:r w:rsidRPr="00A60B94">
        <w:rPr>
          <w:rFonts w:ascii="Times New Roman" w:hAnsi="Times New Roman"/>
          <w:b/>
          <w:bCs/>
          <w:color w:val="000000"/>
          <w:sz w:val="24"/>
          <w:szCs w:val="24"/>
        </w:rPr>
        <w:t xml:space="preserve">културата </w:t>
      </w:r>
      <w:r w:rsidRPr="00A60B94">
        <w:rPr>
          <w:rFonts w:ascii="Times New Roman" w:hAnsi="Times New Roman"/>
          <w:color w:val="000000"/>
          <w:sz w:val="24"/>
          <w:szCs w:val="24"/>
        </w:rPr>
        <w:t>и заштитата на културното наследство, Министерството за култура треба да изготви нова Национална стратегија за развој на културата 2023</w:t>
      </w:r>
      <w:r>
        <w:rPr>
          <w:rFonts w:ascii="Times New Roman" w:hAnsi="Times New Roman"/>
          <w:color w:val="000000"/>
          <w:sz w:val="24"/>
          <w:szCs w:val="24"/>
        </w:rPr>
        <w:t xml:space="preserve"> </w:t>
      </w:r>
      <w:r w:rsidRPr="00A60B94">
        <w:rPr>
          <w:rFonts w:ascii="Times New Roman" w:hAnsi="Times New Roman"/>
          <w:color w:val="000000"/>
          <w:sz w:val="24"/>
          <w:szCs w:val="24"/>
        </w:rPr>
        <w:t>-</w:t>
      </w:r>
      <w:r>
        <w:rPr>
          <w:rFonts w:ascii="Times New Roman" w:hAnsi="Times New Roman"/>
          <w:color w:val="000000"/>
          <w:sz w:val="24"/>
          <w:szCs w:val="24"/>
        </w:rPr>
        <w:t xml:space="preserve"> </w:t>
      </w:r>
      <w:r w:rsidRPr="00A60B94">
        <w:rPr>
          <w:rFonts w:ascii="Times New Roman" w:hAnsi="Times New Roman"/>
          <w:color w:val="000000"/>
          <w:sz w:val="24"/>
          <w:szCs w:val="24"/>
        </w:rPr>
        <w:t xml:space="preserve">2027 година и да обезбеди соодветни буџетски средства. Годишните буџетски средства наменети за културата постојано се намалуваат во последните </w:t>
      </w:r>
      <w:r>
        <w:rPr>
          <w:rFonts w:ascii="Times New Roman" w:hAnsi="Times New Roman"/>
          <w:color w:val="000000"/>
          <w:sz w:val="24"/>
          <w:szCs w:val="24"/>
        </w:rPr>
        <w:t>три</w:t>
      </w:r>
      <w:r w:rsidRPr="00A60B94">
        <w:rPr>
          <w:rFonts w:ascii="Times New Roman" w:hAnsi="Times New Roman"/>
          <w:color w:val="000000"/>
          <w:sz w:val="24"/>
          <w:szCs w:val="24"/>
        </w:rPr>
        <w:t xml:space="preserve"> години. </w:t>
      </w:r>
      <w:r>
        <w:rPr>
          <w:rFonts w:ascii="Times New Roman" w:hAnsi="Times New Roman"/>
          <w:color w:val="000000"/>
          <w:sz w:val="24"/>
          <w:szCs w:val="24"/>
        </w:rPr>
        <w:t>П</w:t>
      </w:r>
      <w:r w:rsidRPr="00A60B94">
        <w:rPr>
          <w:rFonts w:ascii="Times New Roman" w:hAnsi="Times New Roman"/>
          <w:color w:val="000000"/>
          <w:sz w:val="24"/>
          <w:szCs w:val="24"/>
        </w:rPr>
        <w:t>овторно се одложени</w:t>
      </w:r>
      <w:r>
        <w:rPr>
          <w:rFonts w:ascii="Times New Roman" w:hAnsi="Times New Roman"/>
          <w:color w:val="000000"/>
          <w:sz w:val="24"/>
          <w:szCs w:val="24"/>
        </w:rPr>
        <w:t xml:space="preserve"> р</w:t>
      </w:r>
      <w:r w:rsidRPr="00A60B94">
        <w:rPr>
          <w:rFonts w:ascii="Times New Roman" w:hAnsi="Times New Roman"/>
          <w:color w:val="000000"/>
          <w:sz w:val="24"/>
          <w:szCs w:val="24"/>
        </w:rPr>
        <w:t xml:space="preserve">еформите по препораките </w:t>
      </w:r>
      <w:r>
        <w:rPr>
          <w:rFonts w:ascii="Times New Roman" w:hAnsi="Times New Roman"/>
          <w:color w:val="000000"/>
          <w:sz w:val="24"/>
          <w:szCs w:val="24"/>
        </w:rPr>
        <w:t>во</w:t>
      </w:r>
      <w:r w:rsidRPr="00A60B94">
        <w:rPr>
          <w:rFonts w:ascii="Times New Roman" w:hAnsi="Times New Roman"/>
          <w:color w:val="000000"/>
          <w:sz w:val="24"/>
          <w:szCs w:val="24"/>
        </w:rPr>
        <w:t xml:space="preserve"> функционалната анализа</w:t>
      </w:r>
      <w:r w:rsidRPr="00A60B94">
        <w:rPr>
          <w:rFonts w:ascii="Times New Roman" w:hAnsi="Times New Roman"/>
          <w:sz w:val="24"/>
          <w:szCs w:val="24"/>
        </w:rPr>
        <w:t xml:space="preserve"> </w:t>
      </w:r>
      <w:r w:rsidRPr="00A60B94">
        <w:rPr>
          <w:rFonts w:ascii="Times New Roman" w:hAnsi="Times New Roman"/>
          <w:color w:val="000000"/>
          <w:sz w:val="24"/>
          <w:szCs w:val="24"/>
        </w:rPr>
        <w:t xml:space="preserve">на Министерството за култура и специјализираните органи. Министерството за култура и другите релевантни институции треба да ги зајакнат капацитетите за креирање и управување со политики </w:t>
      </w:r>
      <w:r>
        <w:rPr>
          <w:rFonts w:ascii="Times New Roman" w:hAnsi="Times New Roman"/>
          <w:color w:val="000000"/>
          <w:sz w:val="24"/>
          <w:szCs w:val="24"/>
        </w:rPr>
        <w:t xml:space="preserve">во областа </w:t>
      </w:r>
      <w:r w:rsidRPr="00A60B94">
        <w:rPr>
          <w:rFonts w:ascii="Times New Roman" w:hAnsi="Times New Roman"/>
          <w:color w:val="000000"/>
          <w:sz w:val="24"/>
          <w:szCs w:val="24"/>
        </w:rPr>
        <w:t>на културата врз основа на добрите начела на јавната администрација. Во септември 2023</w:t>
      </w:r>
      <w:r>
        <w:rPr>
          <w:rFonts w:ascii="Times New Roman" w:hAnsi="Times New Roman"/>
          <w:color w:val="000000"/>
          <w:sz w:val="24"/>
          <w:szCs w:val="24"/>
        </w:rPr>
        <w:t xml:space="preserve"> година</w:t>
      </w:r>
      <w:r w:rsidRPr="00A60B94">
        <w:rPr>
          <w:rFonts w:ascii="Times New Roman" w:hAnsi="Times New Roman"/>
          <w:color w:val="000000"/>
          <w:sz w:val="24"/>
          <w:szCs w:val="24"/>
        </w:rPr>
        <w:t xml:space="preserve"> Скопје е прогласен за Европска престолнина на културата за 2028 година.</w:t>
      </w:r>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 xml:space="preserve">Потребни се дополнителни напори за зајакнување на институционалниот одговор и меѓуинституционалната соработка </w:t>
      </w:r>
      <w:r>
        <w:rPr>
          <w:rFonts w:ascii="Times New Roman" w:hAnsi="Times New Roman"/>
          <w:color w:val="000000"/>
          <w:sz w:val="24"/>
          <w:szCs w:val="24"/>
        </w:rPr>
        <w:t xml:space="preserve">во областа на </w:t>
      </w:r>
      <w:r w:rsidRPr="00A60B94">
        <w:rPr>
          <w:rFonts w:ascii="Times New Roman" w:hAnsi="Times New Roman"/>
          <w:color w:val="000000"/>
          <w:sz w:val="24"/>
          <w:szCs w:val="24"/>
        </w:rPr>
        <w:t>заштита</w:t>
      </w:r>
      <w:r>
        <w:rPr>
          <w:rFonts w:ascii="Times New Roman" w:hAnsi="Times New Roman"/>
          <w:color w:val="000000"/>
          <w:sz w:val="24"/>
          <w:szCs w:val="24"/>
        </w:rPr>
        <w:t>та</w:t>
      </w:r>
      <w:r w:rsidRPr="00A60B94">
        <w:rPr>
          <w:rFonts w:ascii="Times New Roman" w:hAnsi="Times New Roman"/>
          <w:color w:val="000000"/>
          <w:sz w:val="24"/>
          <w:szCs w:val="24"/>
        </w:rPr>
        <w:t xml:space="preserve"> на културното наследство и спречување дивоградби. </w:t>
      </w:r>
      <w:r>
        <w:rPr>
          <w:rFonts w:ascii="Times New Roman" w:hAnsi="Times New Roman"/>
          <w:color w:val="000000"/>
          <w:sz w:val="24"/>
          <w:szCs w:val="24"/>
        </w:rPr>
        <w:t xml:space="preserve">Во нив е опфатена </w:t>
      </w:r>
      <w:r w:rsidRPr="00A60B94">
        <w:rPr>
          <w:rFonts w:ascii="Times New Roman" w:hAnsi="Times New Roman"/>
          <w:color w:val="000000"/>
          <w:sz w:val="24"/>
          <w:szCs w:val="24"/>
        </w:rPr>
        <w:t>и заштитата на локалитети од културното наследство со „статус од особено значење“, како што се Охридското Езеро и Старата скопска чаршија. Културното наследство на земјата не е доволно заштитено.</w:t>
      </w:r>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Северна Македонија продолжи целосно да учествува во потпрограмите за медиуми и за меѓусекторска соработка на програмата Креативна Европа. Надлежните органи изврши</w:t>
      </w:r>
      <w:r w:rsidR="000C694F">
        <w:rPr>
          <w:rFonts w:ascii="Times New Roman" w:hAnsi="Times New Roman"/>
          <w:color w:val="000000"/>
          <w:sz w:val="24"/>
          <w:szCs w:val="24"/>
        </w:rPr>
        <w:t>ја</w:t>
      </w:r>
      <w:r w:rsidRPr="00A60B94">
        <w:rPr>
          <w:rFonts w:ascii="Times New Roman" w:hAnsi="Times New Roman"/>
          <w:color w:val="000000"/>
          <w:sz w:val="24"/>
          <w:szCs w:val="24"/>
        </w:rPr>
        <w:t xml:space="preserve"> измени во националното законодавство за да го усогласат со Директивата за аудиовизуелни медиумски услуги од 2018 година, што е предуслов за континуираното учество на земјата во програмата. Бројот на корисници на програмата Креативна Европа и понатаму е задоволителен.</w:t>
      </w:r>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 xml:space="preserve">Во извештајниот период </w:t>
      </w:r>
      <w:r w:rsidR="006143CA">
        <w:rPr>
          <w:rFonts w:ascii="Times New Roman" w:hAnsi="Times New Roman"/>
          <w:color w:val="000000"/>
          <w:sz w:val="24"/>
          <w:szCs w:val="24"/>
        </w:rPr>
        <w:t>органите</w:t>
      </w:r>
      <w:r w:rsidR="006143CA" w:rsidRPr="00A60B94">
        <w:rPr>
          <w:rFonts w:ascii="Times New Roman" w:hAnsi="Times New Roman"/>
          <w:color w:val="000000"/>
          <w:sz w:val="24"/>
          <w:szCs w:val="24"/>
        </w:rPr>
        <w:t xml:space="preserve"> </w:t>
      </w:r>
      <w:r w:rsidRPr="00A60B94">
        <w:rPr>
          <w:rFonts w:ascii="Times New Roman" w:hAnsi="Times New Roman"/>
          <w:color w:val="000000"/>
          <w:sz w:val="24"/>
          <w:szCs w:val="24"/>
        </w:rPr>
        <w:t xml:space="preserve">ја изготвија Националната стратегија за </w:t>
      </w:r>
      <w:r w:rsidRPr="00A60B94">
        <w:rPr>
          <w:rFonts w:ascii="Times New Roman" w:hAnsi="Times New Roman"/>
          <w:b/>
          <w:bCs/>
          <w:color w:val="000000"/>
          <w:sz w:val="24"/>
          <w:szCs w:val="24"/>
        </w:rPr>
        <w:t xml:space="preserve">млади </w:t>
      </w:r>
      <w:r w:rsidRPr="00A60B94">
        <w:rPr>
          <w:rFonts w:ascii="Times New Roman" w:hAnsi="Times New Roman"/>
          <w:color w:val="000000"/>
          <w:sz w:val="24"/>
          <w:szCs w:val="24"/>
        </w:rPr>
        <w:t>за 2023</w:t>
      </w:r>
      <w:r>
        <w:rPr>
          <w:rFonts w:ascii="Times New Roman" w:hAnsi="Times New Roman"/>
          <w:color w:val="000000"/>
          <w:sz w:val="24"/>
          <w:szCs w:val="24"/>
        </w:rPr>
        <w:t xml:space="preserve"> </w:t>
      </w:r>
      <w:r w:rsidRPr="00A60B94">
        <w:rPr>
          <w:rFonts w:ascii="Times New Roman" w:hAnsi="Times New Roman"/>
          <w:color w:val="000000"/>
          <w:sz w:val="24"/>
          <w:szCs w:val="24"/>
        </w:rPr>
        <w:t>-</w:t>
      </w:r>
      <w:r>
        <w:rPr>
          <w:rFonts w:ascii="Times New Roman" w:hAnsi="Times New Roman"/>
          <w:color w:val="000000"/>
          <w:sz w:val="24"/>
          <w:szCs w:val="24"/>
        </w:rPr>
        <w:t xml:space="preserve"> </w:t>
      </w:r>
      <w:r w:rsidRPr="00A60B94">
        <w:rPr>
          <w:rFonts w:ascii="Times New Roman" w:hAnsi="Times New Roman"/>
          <w:color w:val="000000"/>
          <w:sz w:val="24"/>
          <w:szCs w:val="24"/>
        </w:rPr>
        <w:t>2027 година</w:t>
      </w:r>
      <w:r>
        <w:rPr>
          <w:rFonts w:ascii="Times New Roman" w:hAnsi="Times New Roman"/>
          <w:color w:val="000000"/>
          <w:sz w:val="24"/>
          <w:szCs w:val="24"/>
        </w:rPr>
        <w:t xml:space="preserve"> </w:t>
      </w:r>
      <w:r w:rsidRPr="00A60B94">
        <w:rPr>
          <w:rFonts w:ascii="Times New Roman" w:hAnsi="Times New Roman"/>
          <w:color w:val="000000"/>
          <w:sz w:val="24"/>
          <w:szCs w:val="24"/>
        </w:rPr>
        <w:t>што допрва треба да се донесе.</w:t>
      </w:r>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 xml:space="preserve">Во октомври 2022 година Северна Македонија ја потпиша Конвенцијата на Советот на Европа против манипулации во </w:t>
      </w:r>
      <w:r w:rsidRPr="00A60B94">
        <w:rPr>
          <w:rFonts w:ascii="Times New Roman" w:hAnsi="Times New Roman"/>
          <w:b/>
          <w:bCs/>
          <w:color w:val="000000"/>
          <w:sz w:val="24"/>
          <w:szCs w:val="24"/>
        </w:rPr>
        <w:t xml:space="preserve">спортските </w:t>
      </w:r>
      <w:r w:rsidRPr="00A60B94">
        <w:rPr>
          <w:rFonts w:ascii="Times New Roman" w:hAnsi="Times New Roman"/>
          <w:color w:val="000000"/>
          <w:sz w:val="24"/>
          <w:szCs w:val="24"/>
        </w:rPr>
        <w:t xml:space="preserve">натпревари (Конвенција Маколин), </w:t>
      </w:r>
      <w:r>
        <w:rPr>
          <w:rFonts w:ascii="Times New Roman" w:hAnsi="Times New Roman"/>
          <w:color w:val="000000"/>
          <w:sz w:val="24"/>
          <w:szCs w:val="24"/>
        </w:rPr>
        <w:t>со која јавните тела се повикуваат</w:t>
      </w:r>
      <w:r w:rsidRPr="00A60B94">
        <w:rPr>
          <w:rFonts w:ascii="Times New Roman" w:hAnsi="Times New Roman"/>
          <w:color w:val="000000"/>
          <w:sz w:val="24"/>
          <w:szCs w:val="24"/>
        </w:rPr>
        <w:t xml:space="preserve"> да соработуваат со спортските организации, организаторите на обложувања и организаторите на натпревари за да се спречат, откријат и санкционираат манипулациите во спортските натпревари.</w:t>
      </w:r>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Во однос на транспарентноста, Државниот просветен инспекторат во соработка со Бирото за развој на образованието е одговорен за спроведување на националните наставни програми и го надгледува спроведувањето на релевантното законодавство во сите образовни институции.</w:t>
      </w:r>
    </w:p>
    <w:p w:rsidR="006B3D9A" w:rsidRPr="00A60B94" w:rsidRDefault="006B3D9A" w:rsidP="00A661C4">
      <w:pPr>
        <w:pStyle w:val="Heading2"/>
      </w:pPr>
      <w:bookmarkStart w:id="86" w:name="bookmark52"/>
      <w:bookmarkStart w:id="87" w:name="_Toc150864278"/>
      <w:r w:rsidRPr="00A60B94">
        <w:t>П</w:t>
      </w:r>
      <w:bookmarkEnd w:id="86"/>
      <w:r w:rsidRPr="00A60B94">
        <w:t>оглавје 29: Царинска унија</w:t>
      </w:r>
      <w:bookmarkEnd w:id="87"/>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sidRPr="00A60B94">
        <w:rPr>
          <w:rFonts w:ascii="Times New Roman" w:hAnsi="Times New Roman"/>
          <w:i/>
          <w:iCs/>
          <w:color w:val="000000"/>
          <w:sz w:val="24"/>
          <w:szCs w:val="24"/>
        </w:rPr>
        <w:t xml:space="preserve">Сите земји членки се дел од </w:t>
      </w:r>
      <w:r>
        <w:rPr>
          <w:rFonts w:ascii="Times New Roman" w:hAnsi="Times New Roman"/>
          <w:i/>
          <w:iCs/>
          <w:color w:val="000000"/>
          <w:sz w:val="24"/>
          <w:szCs w:val="24"/>
        </w:rPr>
        <w:t>Ц</w:t>
      </w:r>
      <w:r w:rsidRPr="00A60B94">
        <w:rPr>
          <w:rFonts w:ascii="Times New Roman" w:hAnsi="Times New Roman"/>
          <w:i/>
          <w:iCs/>
          <w:color w:val="000000"/>
          <w:sz w:val="24"/>
          <w:szCs w:val="24"/>
        </w:rPr>
        <w:t>аринската унија на ЕУ и следат исти царински правила и постапки. Ова бара усогласување на законодавството, како и соодветен капацитет за спроведување и примена и пристап до заедничките компјутеризирани царински системи.</w:t>
      </w:r>
    </w:p>
    <w:p w:rsidR="006B3D9A" w:rsidRPr="00A60B94" w:rsidRDefault="006B3D9A"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 xml:space="preserve">Северна Македонија </w:t>
      </w:r>
      <w:r w:rsidRPr="00A60B94">
        <w:rPr>
          <w:rFonts w:ascii="Times New Roman" w:hAnsi="Times New Roman"/>
          <w:b/>
          <w:bCs/>
          <w:color w:val="000000"/>
          <w:sz w:val="24"/>
          <w:szCs w:val="24"/>
        </w:rPr>
        <w:t>има добро ниво на подготвеност</w:t>
      </w:r>
      <w:r w:rsidRPr="00A60B94">
        <w:rPr>
          <w:rFonts w:ascii="Times New Roman" w:hAnsi="Times New Roman"/>
          <w:color w:val="000000"/>
          <w:sz w:val="24"/>
          <w:szCs w:val="24"/>
        </w:rPr>
        <w:t xml:space="preserve"> во оваа област. Постигнат е </w:t>
      </w:r>
      <w:r w:rsidRPr="00A60B94">
        <w:rPr>
          <w:rFonts w:ascii="Times New Roman" w:hAnsi="Times New Roman"/>
          <w:b/>
          <w:bCs/>
          <w:color w:val="000000"/>
          <w:sz w:val="24"/>
          <w:szCs w:val="24"/>
        </w:rPr>
        <w:t xml:space="preserve">ограничен напредок </w:t>
      </w:r>
      <w:r w:rsidRPr="00A60B94">
        <w:rPr>
          <w:rFonts w:ascii="Times New Roman" w:hAnsi="Times New Roman"/>
          <w:color w:val="000000"/>
          <w:sz w:val="24"/>
          <w:szCs w:val="24"/>
        </w:rPr>
        <w:t>во однос на консолидацијата, примената и надградбата на ИТ</w:t>
      </w:r>
      <w:r>
        <w:rPr>
          <w:rFonts w:ascii="Times New Roman" w:hAnsi="Times New Roman"/>
          <w:color w:val="000000"/>
          <w:sz w:val="24"/>
          <w:szCs w:val="24"/>
        </w:rPr>
        <w:t>-</w:t>
      </w:r>
      <w:r w:rsidRPr="00A60B94">
        <w:rPr>
          <w:rFonts w:ascii="Times New Roman" w:hAnsi="Times New Roman"/>
          <w:color w:val="000000"/>
          <w:sz w:val="24"/>
          <w:szCs w:val="24"/>
        </w:rPr>
        <w:t xml:space="preserve"> системите, а дополнително е промовиран Концептот на овластени економски оператори (ОЕО), вклучително и преку иницијативи за регионална соработка помеѓу царинските управи на земјите од ЗБ6. Се доцни со спроведувањето на петтата фаза од Новиот компјутеризиран транзитен систем (НКТС). Северна Македонија допрва треба да го ратификува Протоколот за елиминација на недозволена трговија со тутунски производи.</w:t>
      </w:r>
    </w:p>
    <w:p w:rsidR="006B3D9A" w:rsidRPr="00A60B94" w:rsidRDefault="006B3D9A"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Препораките од минатата година се делумно спроведени. Во текот на наредната година земјата особено треба:</w:t>
      </w:r>
    </w:p>
    <w:p w:rsidR="006B3D9A" w:rsidRPr="00A60B94" w:rsidRDefault="006B3D9A"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w:t>
      </w:r>
      <w:r w:rsidRPr="00A60B94">
        <w:rPr>
          <w:rFonts w:ascii="Times New Roman" w:hAnsi="Times New Roman"/>
          <w:color w:val="000000"/>
          <w:sz w:val="24"/>
          <w:szCs w:val="24"/>
        </w:rPr>
        <w:tab/>
        <w:t>да ја спроведе петтата фаза од Новиот компјутеризиран транзитен систем (НКТС);</w:t>
      </w:r>
    </w:p>
    <w:p w:rsidR="006B3D9A" w:rsidRPr="00A60B94" w:rsidRDefault="006B3D9A"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w:t>
      </w:r>
      <w:r w:rsidRPr="00A60B94">
        <w:rPr>
          <w:rFonts w:ascii="Times New Roman" w:hAnsi="Times New Roman"/>
          <w:color w:val="000000"/>
          <w:sz w:val="24"/>
          <w:szCs w:val="24"/>
        </w:rPr>
        <w:tab/>
        <w:t>да продолжи со консолидацијата и целосната примена на своите ИТ</w:t>
      </w:r>
      <w:r>
        <w:rPr>
          <w:rFonts w:ascii="Times New Roman" w:hAnsi="Times New Roman"/>
          <w:color w:val="000000"/>
          <w:sz w:val="24"/>
          <w:szCs w:val="24"/>
        </w:rPr>
        <w:t>-</w:t>
      </w:r>
      <w:r w:rsidRPr="00A60B94">
        <w:rPr>
          <w:rFonts w:ascii="Times New Roman" w:hAnsi="Times New Roman"/>
          <w:color w:val="000000"/>
          <w:sz w:val="24"/>
          <w:szCs w:val="24"/>
        </w:rPr>
        <w:t>системи, вклучително и со усогласување</w:t>
      </w:r>
      <w:r>
        <w:rPr>
          <w:rFonts w:ascii="Times New Roman" w:hAnsi="Times New Roman"/>
          <w:color w:val="000000"/>
          <w:sz w:val="24"/>
          <w:szCs w:val="24"/>
        </w:rPr>
        <w:t>то</w:t>
      </w:r>
      <w:r w:rsidRPr="00A60B94">
        <w:rPr>
          <w:rFonts w:ascii="Times New Roman" w:hAnsi="Times New Roman"/>
          <w:color w:val="000000"/>
          <w:sz w:val="24"/>
          <w:szCs w:val="24"/>
        </w:rPr>
        <w:t xml:space="preserve"> со модулите од Повеќегодишниот </w:t>
      </w:r>
      <w:r>
        <w:rPr>
          <w:rFonts w:ascii="Times New Roman" w:hAnsi="Times New Roman"/>
          <w:color w:val="000000"/>
          <w:sz w:val="24"/>
          <w:szCs w:val="24"/>
        </w:rPr>
        <w:t>стратешки</w:t>
      </w:r>
      <w:r w:rsidRPr="00A60B94">
        <w:rPr>
          <w:rFonts w:ascii="Times New Roman" w:hAnsi="Times New Roman"/>
          <w:color w:val="000000"/>
          <w:sz w:val="24"/>
          <w:szCs w:val="24"/>
        </w:rPr>
        <w:t xml:space="preserve"> план (МАСП) на Комисијата за да осигури дека континуирано се надградуваат, како и нивниот деловен континуитет;</w:t>
      </w:r>
    </w:p>
    <w:p w:rsidR="006B3D9A" w:rsidRPr="00A60B94" w:rsidRDefault="006B3D9A" w:rsidP="00A661C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w:t>
      </w:r>
      <w:r w:rsidRPr="00A60B94">
        <w:rPr>
          <w:rFonts w:ascii="Times New Roman" w:hAnsi="Times New Roman"/>
          <w:color w:val="000000"/>
          <w:sz w:val="24"/>
          <w:szCs w:val="24"/>
        </w:rPr>
        <w:tab/>
        <w:t>да го ратификува Протоколот за елиминација на недозволена трговија со тутунски производи.</w:t>
      </w:r>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 xml:space="preserve">Усогласувањето на </w:t>
      </w:r>
      <w:r>
        <w:rPr>
          <w:rFonts w:ascii="Times New Roman" w:hAnsi="Times New Roman"/>
          <w:b/>
          <w:bCs/>
          <w:color w:val="000000"/>
          <w:sz w:val="24"/>
          <w:szCs w:val="24"/>
        </w:rPr>
        <w:t>ц</w:t>
      </w:r>
      <w:r w:rsidRPr="00A60B94">
        <w:rPr>
          <w:rFonts w:ascii="Times New Roman" w:hAnsi="Times New Roman"/>
          <w:b/>
          <w:bCs/>
          <w:color w:val="000000"/>
          <w:sz w:val="24"/>
          <w:szCs w:val="24"/>
        </w:rPr>
        <w:t xml:space="preserve">аринското законодавство </w:t>
      </w:r>
      <w:r w:rsidRPr="00A60B94">
        <w:rPr>
          <w:rFonts w:ascii="Times New Roman" w:hAnsi="Times New Roman"/>
          <w:color w:val="000000"/>
          <w:sz w:val="24"/>
          <w:szCs w:val="24"/>
        </w:rPr>
        <w:t xml:space="preserve">со </w:t>
      </w:r>
      <w:r w:rsidRPr="00A60B94">
        <w:rPr>
          <w:rFonts w:ascii="Times New Roman" w:hAnsi="Times New Roman"/>
          <w:i/>
          <w:iCs/>
          <w:color w:val="000000"/>
          <w:sz w:val="24"/>
          <w:szCs w:val="24"/>
        </w:rPr>
        <w:t>правото</w:t>
      </w:r>
      <w:r w:rsidRPr="00A60B94">
        <w:rPr>
          <w:rFonts w:ascii="Times New Roman" w:hAnsi="Times New Roman"/>
          <w:color w:val="000000"/>
          <w:sz w:val="24"/>
          <w:szCs w:val="24"/>
        </w:rPr>
        <w:t xml:space="preserve"> на ЕУ е на високо ниво. Царинската тарифа за 2023 година е донесена во согласност со последните измени на Комбинираната номенклатура на ЕУ. Спроведен е Дополнителниот протокол 5 на ЦЕФТА за олеснување на трговијата, а дополнително е промовиран концептот на овластени економски</w:t>
      </w:r>
      <w:r w:rsidR="000241FC">
        <w:rPr>
          <w:rFonts w:ascii="Times New Roman" w:hAnsi="Times New Roman"/>
          <w:color w:val="000000"/>
          <w:sz w:val="24"/>
          <w:szCs w:val="24"/>
          <w:lang w:val="en-US"/>
        </w:rPr>
        <w:t xml:space="preserve"> </w:t>
      </w:r>
      <w:r w:rsidRPr="00A60B94">
        <w:rPr>
          <w:rFonts w:ascii="Times New Roman" w:hAnsi="Times New Roman"/>
          <w:color w:val="000000"/>
          <w:sz w:val="24"/>
          <w:szCs w:val="24"/>
        </w:rPr>
        <w:t xml:space="preserve">оператори (ОЕО). Досега 27 компании </w:t>
      </w:r>
      <w:r w:rsidR="000241FC">
        <w:rPr>
          <w:rFonts w:ascii="Times New Roman" w:hAnsi="Times New Roman"/>
          <w:color w:val="000000"/>
          <w:sz w:val="24"/>
          <w:szCs w:val="24"/>
        </w:rPr>
        <w:t>се стекнаа со</w:t>
      </w:r>
      <w:r w:rsidRPr="00A60B94">
        <w:rPr>
          <w:rFonts w:ascii="Times New Roman" w:hAnsi="Times New Roman"/>
          <w:color w:val="000000"/>
          <w:sz w:val="24"/>
          <w:szCs w:val="24"/>
        </w:rPr>
        <w:t xml:space="preserve"> уверение за овластени економски оператори (ОЕО). Северна Македонија допрва треба да го ратификува Протоколот за елиминација на недозволена трговија со тутунски производи, потпишан во 2014 година.</w:t>
      </w:r>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 xml:space="preserve">Во однос на </w:t>
      </w:r>
      <w:r w:rsidRPr="00A60B94">
        <w:rPr>
          <w:rFonts w:ascii="Times New Roman" w:hAnsi="Times New Roman"/>
          <w:b/>
          <w:bCs/>
          <w:color w:val="000000"/>
          <w:sz w:val="24"/>
          <w:szCs w:val="24"/>
        </w:rPr>
        <w:t>административниот и оперативниот капацитет</w:t>
      </w:r>
      <w:r w:rsidRPr="00A60B94">
        <w:rPr>
          <w:rFonts w:ascii="Times New Roman" w:hAnsi="Times New Roman"/>
          <w:color w:val="000000"/>
          <w:sz w:val="24"/>
          <w:szCs w:val="24"/>
        </w:rPr>
        <w:t>, стандардите за професионален интегритет и антикорупција и понатаму доследно се применуваат. Воспоставен е сеопфатен разузнавачки систем за поддршка на истраги</w:t>
      </w:r>
      <w:r>
        <w:rPr>
          <w:rFonts w:ascii="Times New Roman" w:hAnsi="Times New Roman"/>
          <w:color w:val="000000"/>
          <w:sz w:val="24"/>
          <w:szCs w:val="24"/>
        </w:rPr>
        <w:t>те</w:t>
      </w:r>
      <w:r w:rsidRPr="00A60B94">
        <w:rPr>
          <w:rFonts w:ascii="Times New Roman" w:hAnsi="Times New Roman"/>
          <w:color w:val="000000"/>
          <w:sz w:val="24"/>
          <w:szCs w:val="24"/>
        </w:rPr>
        <w:t xml:space="preserve"> и спроведување на стандардите. Управувањето со ризик се применува систематски со процент на физичка контрола од 5,9</w:t>
      </w:r>
      <w:r>
        <w:rPr>
          <w:rFonts w:ascii="Times New Roman" w:hAnsi="Times New Roman"/>
          <w:color w:val="000000"/>
          <w:sz w:val="24"/>
          <w:szCs w:val="24"/>
        </w:rPr>
        <w:t xml:space="preserve"> </w:t>
      </w:r>
      <w:r w:rsidRPr="00A60B94">
        <w:rPr>
          <w:rFonts w:ascii="Times New Roman" w:hAnsi="Times New Roman"/>
          <w:color w:val="000000"/>
          <w:sz w:val="24"/>
          <w:szCs w:val="24"/>
        </w:rPr>
        <w:t xml:space="preserve">% и документарни контроли </w:t>
      </w:r>
      <w:r>
        <w:rPr>
          <w:rFonts w:ascii="Times New Roman" w:hAnsi="Times New Roman"/>
          <w:color w:val="000000"/>
          <w:sz w:val="24"/>
          <w:szCs w:val="24"/>
        </w:rPr>
        <w:t>што</w:t>
      </w:r>
      <w:r w:rsidRPr="00A60B94">
        <w:rPr>
          <w:rFonts w:ascii="Times New Roman" w:hAnsi="Times New Roman"/>
          <w:color w:val="000000"/>
          <w:sz w:val="24"/>
          <w:szCs w:val="24"/>
        </w:rPr>
        <w:t xml:space="preserve"> сочинуваат 15,7</w:t>
      </w:r>
      <w:r>
        <w:rPr>
          <w:rFonts w:ascii="Times New Roman" w:hAnsi="Times New Roman"/>
          <w:color w:val="000000"/>
          <w:sz w:val="24"/>
          <w:szCs w:val="24"/>
        </w:rPr>
        <w:t xml:space="preserve"> </w:t>
      </w:r>
      <w:r w:rsidRPr="00A60B94">
        <w:rPr>
          <w:rFonts w:ascii="Times New Roman" w:hAnsi="Times New Roman"/>
          <w:color w:val="000000"/>
          <w:sz w:val="24"/>
          <w:szCs w:val="24"/>
        </w:rPr>
        <w:t>% од сите пратки во 2022 година.</w:t>
      </w:r>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Приходите што ги прибира Царинската управа се зголем</w:t>
      </w:r>
      <w:r w:rsidR="006B55F4">
        <w:rPr>
          <w:rFonts w:ascii="Times New Roman" w:hAnsi="Times New Roman"/>
          <w:color w:val="000000"/>
          <w:sz w:val="24"/>
          <w:szCs w:val="24"/>
        </w:rPr>
        <w:t>ени</w:t>
      </w:r>
      <w:r w:rsidRPr="00A60B94">
        <w:rPr>
          <w:rFonts w:ascii="Times New Roman" w:hAnsi="Times New Roman"/>
          <w:color w:val="000000"/>
          <w:sz w:val="24"/>
          <w:szCs w:val="24"/>
        </w:rPr>
        <w:t xml:space="preserve"> за 15</w:t>
      </w:r>
      <w:r>
        <w:rPr>
          <w:rFonts w:ascii="Times New Roman" w:hAnsi="Times New Roman"/>
          <w:color w:val="000000"/>
          <w:sz w:val="24"/>
          <w:szCs w:val="24"/>
        </w:rPr>
        <w:t xml:space="preserve"> </w:t>
      </w:r>
      <w:r w:rsidRPr="00A60B94">
        <w:rPr>
          <w:rFonts w:ascii="Times New Roman" w:hAnsi="Times New Roman"/>
          <w:color w:val="000000"/>
          <w:sz w:val="24"/>
          <w:szCs w:val="24"/>
        </w:rPr>
        <w:t>% во споредба со 2021 година и изнесува</w:t>
      </w:r>
      <w:r w:rsidR="006B55F4">
        <w:rPr>
          <w:rFonts w:ascii="Times New Roman" w:hAnsi="Times New Roman"/>
          <w:color w:val="000000"/>
          <w:sz w:val="24"/>
          <w:szCs w:val="24"/>
        </w:rPr>
        <w:t>а</w:t>
      </w:r>
      <w:r w:rsidRPr="00A60B94">
        <w:rPr>
          <w:rFonts w:ascii="Times New Roman" w:hAnsi="Times New Roman"/>
          <w:color w:val="000000"/>
          <w:sz w:val="24"/>
          <w:szCs w:val="24"/>
        </w:rPr>
        <w:t xml:space="preserve"> околу </w:t>
      </w:r>
      <w:r>
        <w:rPr>
          <w:rFonts w:ascii="Times New Roman" w:hAnsi="Times New Roman"/>
          <w:color w:val="000000"/>
          <w:sz w:val="24"/>
          <w:szCs w:val="24"/>
        </w:rPr>
        <w:t>две</w:t>
      </w:r>
      <w:r w:rsidRPr="00A60B94">
        <w:rPr>
          <w:rFonts w:ascii="Times New Roman" w:hAnsi="Times New Roman"/>
          <w:color w:val="000000"/>
          <w:sz w:val="24"/>
          <w:szCs w:val="24"/>
        </w:rPr>
        <w:t xml:space="preserve"> милијарди евра. Спроведен е едношалтерскиот систем за гранична контрола со Србија, а едношалтерскиот систем на главниот граничен премин со Албанија е воспоставен во август 2023 година. Продолжи дигитализацијата на царинските постапки и воведена е зелена царинска декларација што овозможува увозните и извозните постапки да се завршат за еден час без користење хартија. Спроведена е </w:t>
      </w:r>
      <w:r>
        <w:rPr>
          <w:rFonts w:ascii="Times New Roman" w:hAnsi="Times New Roman"/>
          <w:color w:val="000000"/>
          <w:sz w:val="24"/>
          <w:szCs w:val="24"/>
        </w:rPr>
        <w:t>С</w:t>
      </w:r>
      <w:r w:rsidRPr="00A60B94">
        <w:rPr>
          <w:rFonts w:ascii="Times New Roman" w:hAnsi="Times New Roman"/>
          <w:color w:val="000000"/>
          <w:sz w:val="24"/>
          <w:szCs w:val="24"/>
        </w:rPr>
        <w:t>тратегијата за развој на ИКТ за 2021</w:t>
      </w:r>
      <w:r>
        <w:rPr>
          <w:rFonts w:ascii="Times New Roman" w:hAnsi="Times New Roman"/>
          <w:color w:val="000000"/>
          <w:sz w:val="24"/>
          <w:szCs w:val="24"/>
        </w:rPr>
        <w:t xml:space="preserve"> </w:t>
      </w:r>
      <w:r w:rsidRPr="00A60B94">
        <w:rPr>
          <w:rFonts w:ascii="Times New Roman" w:hAnsi="Times New Roman"/>
          <w:color w:val="000000"/>
          <w:sz w:val="24"/>
          <w:szCs w:val="24"/>
        </w:rPr>
        <w:t>-</w:t>
      </w:r>
      <w:r>
        <w:rPr>
          <w:rFonts w:ascii="Times New Roman" w:hAnsi="Times New Roman"/>
          <w:color w:val="000000"/>
          <w:sz w:val="24"/>
          <w:szCs w:val="24"/>
        </w:rPr>
        <w:t xml:space="preserve"> </w:t>
      </w:r>
      <w:r w:rsidRPr="00A60B94">
        <w:rPr>
          <w:rFonts w:ascii="Times New Roman" w:hAnsi="Times New Roman"/>
          <w:color w:val="000000"/>
          <w:sz w:val="24"/>
          <w:szCs w:val="24"/>
        </w:rPr>
        <w:t>2025 година</w:t>
      </w:r>
      <w:r>
        <w:rPr>
          <w:rFonts w:ascii="Times New Roman" w:hAnsi="Times New Roman"/>
          <w:color w:val="000000"/>
          <w:sz w:val="24"/>
          <w:szCs w:val="24"/>
        </w:rPr>
        <w:t>,</w:t>
      </w:r>
      <w:r w:rsidRPr="00A60B94">
        <w:rPr>
          <w:rFonts w:ascii="Times New Roman" w:hAnsi="Times New Roman"/>
          <w:color w:val="000000"/>
          <w:sz w:val="24"/>
          <w:szCs w:val="24"/>
        </w:rPr>
        <w:t xml:space="preserve"> со цел да го координира усогласувањето на националните системи со системите на ЕУ. Се доцни со спроведувањето на </w:t>
      </w:r>
      <w:r>
        <w:rPr>
          <w:rFonts w:ascii="Times New Roman" w:hAnsi="Times New Roman"/>
          <w:color w:val="000000"/>
          <w:sz w:val="24"/>
          <w:szCs w:val="24"/>
        </w:rPr>
        <w:t xml:space="preserve">петтата </w:t>
      </w:r>
      <w:r w:rsidRPr="00A60B94">
        <w:rPr>
          <w:rFonts w:ascii="Times New Roman" w:hAnsi="Times New Roman"/>
          <w:color w:val="000000"/>
          <w:sz w:val="24"/>
          <w:szCs w:val="24"/>
        </w:rPr>
        <w:t xml:space="preserve">фаза од НКТС. Системот за електронска размена на податоци (SEED+) е оперативен, со што се овозможува усогласена работа на агенциите </w:t>
      </w:r>
      <w:r>
        <w:rPr>
          <w:rFonts w:ascii="Times New Roman" w:hAnsi="Times New Roman"/>
          <w:color w:val="000000"/>
          <w:sz w:val="24"/>
          <w:szCs w:val="24"/>
        </w:rPr>
        <w:t xml:space="preserve">што се </w:t>
      </w:r>
      <w:r w:rsidRPr="00A60B94">
        <w:rPr>
          <w:rFonts w:ascii="Times New Roman" w:hAnsi="Times New Roman"/>
          <w:color w:val="000000"/>
          <w:sz w:val="24"/>
          <w:szCs w:val="24"/>
        </w:rPr>
        <w:t>присутни на границите.</w:t>
      </w:r>
    </w:p>
    <w:p w:rsidR="006B3D9A" w:rsidRPr="00A60B94" w:rsidRDefault="006B3D9A" w:rsidP="00A661C4">
      <w:pPr>
        <w:shd w:val="clear" w:color="auto" w:fill="FFFFFF"/>
        <w:spacing w:before="120" w:after="120" w:line="240" w:lineRule="auto"/>
        <w:jc w:val="both"/>
        <w:rPr>
          <w:rFonts w:ascii="Times New Roman" w:hAnsi="Times New Roman"/>
          <w:sz w:val="24"/>
          <w:szCs w:val="24"/>
        </w:rPr>
      </w:pPr>
      <w:r w:rsidRPr="00A60B94">
        <w:rPr>
          <w:rFonts w:ascii="Times New Roman" w:hAnsi="Times New Roman"/>
          <w:color w:val="000000"/>
          <w:sz w:val="24"/>
          <w:szCs w:val="24"/>
        </w:rPr>
        <w:t xml:space="preserve">Бројот на заплени во споредба со претходната година </w:t>
      </w:r>
      <w:r w:rsidR="006B55F4" w:rsidRPr="00A60B94">
        <w:rPr>
          <w:rFonts w:ascii="Times New Roman" w:hAnsi="Times New Roman"/>
          <w:color w:val="000000"/>
          <w:sz w:val="24"/>
          <w:szCs w:val="24"/>
        </w:rPr>
        <w:t>двојно</w:t>
      </w:r>
      <w:r w:rsidR="006B55F4">
        <w:rPr>
          <w:rFonts w:ascii="Times New Roman" w:hAnsi="Times New Roman"/>
          <w:color w:val="000000"/>
          <w:sz w:val="24"/>
          <w:szCs w:val="24"/>
        </w:rPr>
        <w:t xml:space="preserve"> </w:t>
      </w:r>
      <w:r w:rsidRPr="00A60B94">
        <w:rPr>
          <w:rFonts w:ascii="Times New Roman" w:hAnsi="Times New Roman"/>
          <w:color w:val="000000"/>
          <w:sz w:val="24"/>
          <w:szCs w:val="24"/>
        </w:rPr>
        <w:t>се зголеми , со 114 случаи на заплени во 2022 година, а вклучуваат дроги, како и девизи, злато и непријавен</w:t>
      </w:r>
      <w:r w:rsidR="00AB6C4C">
        <w:rPr>
          <w:rFonts w:ascii="Times New Roman" w:hAnsi="Times New Roman"/>
          <w:color w:val="000000"/>
          <w:sz w:val="24"/>
          <w:szCs w:val="24"/>
        </w:rPr>
        <w:t>и</w:t>
      </w:r>
      <w:r w:rsidRPr="00A60B94">
        <w:rPr>
          <w:rFonts w:ascii="Times New Roman" w:hAnsi="Times New Roman"/>
          <w:color w:val="000000"/>
          <w:sz w:val="24"/>
          <w:szCs w:val="24"/>
        </w:rPr>
        <w:t xml:space="preserve"> акцизн</w:t>
      </w:r>
      <w:r w:rsidR="00AB6C4C">
        <w:rPr>
          <w:rFonts w:ascii="Times New Roman" w:hAnsi="Times New Roman"/>
          <w:color w:val="000000"/>
          <w:sz w:val="24"/>
          <w:szCs w:val="24"/>
        </w:rPr>
        <w:t>и</w:t>
      </w:r>
      <w:r w:rsidRPr="00A60B94">
        <w:rPr>
          <w:rFonts w:ascii="Times New Roman" w:hAnsi="Times New Roman"/>
          <w:color w:val="000000"/>
          <w:sz w:val="24"/>
          <w:szCs w:val="24"/>
        </w:rPr>
        <w:t xml:space="preserve"> сток</w:t>
      </w:r>
      <w:r w:rsidR="00AB6C4C">
        <w:rPr>
          <w:rFonts w:ascii="Times New Roman" w:hAnsi="Times New Roman"/>
          <w:color w:val="000000"/>
          <w:sz w:val="24"/>
          <w:szCs w:val="24"/>
        </w:rPr>
        <w:t>и</w:t>
      </w:r>
      <w:r w:rsidRPr="00A60B94">
        <w:rPr>
          <w:rFonts w:ascii="Times New Roman" w:hAnsi="Times New Roman"/>
          <w:color w:val="000000"/>
          <w:sz w:val="24"/>
          <w:szCs w:val="24"/>
        </w:rPr>
        <w:t>. Продолж</w:t>
      </w:r>
      <w:r w:rsidR="006B55F4">
        <w:rPr>
          <w:rFonts w:ascii="Times New Roman" w:hAnsi="Times New Roman"/>
          <w:color w:val="000000"/>
          <w:sz w:val="24"/>
          <w:szCs w:val="24"/>
        </w:rPr>
        <w:t>ена е</w:t>
      </w:r>
      <w:r w:rsidRPr="00A60B94">
        <w:rPr>
          <w:rFonts w:ascii="Times New Roman" w:hAnsi="Times New Roman"/>
          <w:color w:val="000000"/>
          <w:sz w:val="24"/>
          <w:szCs w:val="24"/>
        </w:rPr>
        <w:t xml:space="preserve"> соработката и размената на разузнавачки информации со царинските служби од регионот</w:t>
      </w:r>
      <w:r>
        <w:rPr>
          <w:rFonts w:ascii="Times New Roman" w:hAnsi="Times New Roman"/>
          <w:color w:val="000000"/>
          <w:sz w:val="24"/>
          <w:szCs w:val="24"/>
        </w:rPr>
        <w:t>,</w:t>
      </w:r>
      <w:r w:rsidRPr="00A60B94">
        <w:rPr>
          <w:rFonts w:ascii="Times New Roman" w:hAnsi="Times New Roman"/>
          <w:color w:val="000000"/>
          <w:sz w:val="24"/>
          <w:szCs w:val="24"/>
        </w:rPr>
        <w:t xml:space="preserve"> како и со меѓународни и регионални организации.</w:t>
      </w:r>
    </w:p>
    <w:p w:rsidR="00C82BEE" w:rsidRPr="00F958A8" w:rsidRDefault="00C82BEE" w:rsidP="008D6AE4">
      <w:pPr>
        <w:pStyle w:val="Heading2"/>
      </w:pPr>
      <w:bookmarkStart w:id="88" w:name="bookmark53"/>
      <w:bookmarkStart w:id="89" w:name="_Toc150864279"/>
      <w:r w:rsidRPr="00F958A8">
        <w:t>К</w:t>
      </w:r>
      <w:bookmarkEnd w:id="88"/>
      <w:r w:rsidRPr="00F958A8">
        <w:t>ластер 4: Зелената агенда и одржлива поврзаност</w:t>
      </w:r>
      <w:bookmarkEnd w:id="89"/>
    </w:p>
    <w:p w:rsidR="00C82BEE" w:rsidRPr="00F958A8" w:rsidRDefault="00C82BEE" w:rsidP="008D6AE4">
      <w:pPr>
        <w:shd w:val="clear" w:color="auto" w:fill="FFFFF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Кластерот за Зелена агенда и одржлива поврзаност опфаќа: транспортна политика (поглавје 14)</w:t>
      </w:r>
      <w:r>
        <w:rPr>
          <w:rFonts w:ascii="Times New Roman" w:hAnsi="Times New Roman"/>
          <w:color w:val="000000"/>
          <w:sz w:val="24"/>
          <w:szCs w:val="24"/>
        </w:rPr>
        <w:t>;</w:t>
      </w:r>
      <w:r w:rsidRPr="00F958A8">
        <w:rPr>
          <w:rFonts w:ascii="Times New Roman" w:hAnsi="Times New Roman"/>
          <w:color w:val="000000"/>
          <w:sz w:val="24"/>
          <w:szCs w:val="24"/>
        </w:rPr>
        <w:t xml:space="preserve"> енергија (поглавје 15); </w:t>
      </w:r>
      <w:r>
        <w:rPr>
          <w:rFonts w:ascii="Times New Roman" w:hAnsi="Times New Roman"/>
          <w:color w:val="000000"/>
          <w:sz w:val="24"/>
          <w:szCs w:val="24"/>
        </w:rPr>
        <w:t>трансевропски</w:t>
      </w:r>
      <w:r w:rsidRPr="00F958A8">
        <w:rPr>
          <w:rFonts w:ascii="Times New Roman" w:hAnsi="Times New Roman"/>
          <w:color w:val="000000"/>
          <w:sz w:val="24"/>
          <w:szCs w:val="24"/>
        </w:rPr>
        <w:t xml:space="preserve"> мрежи (поглавје 21); и животна средина и климатски промени (поглавје 27).</w:t>
      </w:r>
    </w:p>
    <w:p w:rsidR="00C82BEE" w:rsidRPr="00F958A8" w:rsidRDefault="00C82BEE" w:rsidP="008D6AE4">
      <w:pPr>
        <w:shd w:val="clear" w:color="auto" w:fill="FFFFF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 xml:space="preserve">Северна Македонија има постигнато добро ниво на подготвеност во однос на трансевропските мрежи, како и одреден степен на подготвеност во однос на животната средина и </w:t>
      </w:r>
      <w:r>
        <w:rPr>
          <w:rFonts w:ascii="Times New Roman" w:hAnsi="Times New Roman"/>
          <w:color w:val="000000"/>
          <w:sz w:val="24"/>
          <w:szCs w:val="24"/>
        </w:rPr>
        <w:t xml:space="preserve">на </w:t>
      </w:r>
      <w:r w:rsidRPr="00F958A8">
        <w:rPr>
          <w:rFonts w:ascii="Times New Roman" w:hAnsi="Times New Roman"/>
          <w:color w:val="000000"/>
          <w:sz w:val="24"/>
          <w:szCs w:val="24"/>
        </w:rPr>
        <w:t xml:space="preserve">климатските промени. Земјата е умерено подготвена во однос на транспортната и </w:t>
      </w:r>
      <w:r>
        <w:rPr>
          <w:rFonts w:ascii="Times New Roman" w:hAnsi="Times New Roman"/>
          <w:color w:val="000000"/>
          <w:sz w:val="24"/>
          <w:szCs w:val="24"/>
        </w:rPr>
        <w:t xml:space="preserve">на </w:t>
      </w:r>
      <w:r w:rsidRPr="00F958A8">
        <w:rPr>
          <w:rFonts w:ascii="Times New Roman" w:hAnsi="Times New Roman"/>
          <w:color w:val="000000"/>
          <w:sz w:val="24"/>
          <w:szCs w:val="24"/>
        </w:rPr>
        <w:t xml:space="preserve">енергетската политика со остварен одреден напредок во областа на енергетиката, особено во однос на регионалните гасни </w:t>
      </w:r>
      <w:r w:rsidRPr="00581A98">
        <w:rPr>
          <w:rFonts w:ascii="Times New Roman" w:hAnsi="Times New Roman"/>
          <w:color w:val="000000"/>
          <w:sz w:val="24"/>
          <w:szCs w:val="24"/>
        </w:rPr>
        <w:t xml:space="preserve">интерконекции </w:t>
      </w:r>
      <w:r w:rsidRPr="00F958A8">
        <w:rPr>
          <w:rFonts w:ascii="Times New Roman" w:hAnsi="Times New Roman"/>
          <w:color w:val="000000"/>
          <w:sz w:val="24"/>
          <w:szCs w:val="24"/>
        </w:rPr>
        <w:t xml:space="preserve">и обновливите извори на енергија. Потребни се значителни напори во областите каде што е постигнат ограничен напредок, </w:t>
      </w:r>
      <w:r>
        <w:rPr>
          <w:rFonts w:ascii="Times New Roman" w:hAnsi="Times New Roman"/>
          <w:color w:val="000000"/>
          <w:sz w:val="24"/>
          <w:szCs w:val="24"/>
        </w:rPr>
        <w:t>какви</w:t>
      </w:r>
      <w:r w:rsidRPr="00F958A8">
        <w:rPr>
          <w:rFonts w:ascii="Times New Roman" w:hAnsi="Times New Roman"/>
          <w:color w:val="000000"/>
          <w:sz w:val="24"/>
          <w:szCs w:val="24"/>
        </w:rPr>
        <w:t xml:space="preserve"> што се транспортот, </w:t>
      </w:r>
      <w:r>
        <w:rPr>
          <w:rFonts w:ascii="Times New Roman" w:hAnsi="Times New Roman"/>
          <w:color w:val="000000"/>
          <w:sz w:val="24"/>
          <w:szCs w:val="24"/>
        </w:rPr>
        <w:t>трансевропските</w:t>
      </w:r>
      <w:r w:rsidRPr="00F958A8">
        <w:rPr>
          <w:rFonts w:ascii="Times New Roman" w:hAnsi="Times New Roman"/>
          <w:color w:val="000000"/>
          <w:sz w:val="24"/>
          <w:szCs w:val="24"/>
        </w:rPr>
        <w:t xml:space="preserve"> мрежи и животната средина. Земјата треба да го забрза спроведувањето на Економскиот и инвестициски план и на Зелената агенда за земјите од Западен Балкан во претстојниот период.</w:t>
      </w:r>
    </w:p>
    <w:p w:rsidR="00C82BEE" w:rsidRPr="00F958A8" w:rsidRDefault="00C82BEE" w:rsidP="008D6AE4">
      <w:pPr>
        <w:pStyle w:val="Heading2"/>
      </w:pPr>
      <w:bookmarkStart w:id="90" w:name="bookmark54"/>
      <w:bookmarkStart w:id="91" w:name="_Toc150864280"/>
      <w:r w:rsidRPr="00F958A8">
        <w:t>П</w:t>
      </w:r>
      <w:bookmarkEnd w:id="90"/>
      <w:r w:rsidRPr="00F958A8">
        <w:t>оглавје 14: Транспортна политика</w:t>
      </w:r>
      <w:bookmarkEnd w:id="91"/>
    </w:p>
    <w:p w:rsidR="00C82BEE" w:rsidRPr="00F958A8" w:rsidRDefault="00C82BEE" w:rsidP="008D6AE4">
      <w:pPr>
        <w:shd w:val="clear" w:color="auto" w:fill="FFFFFF"/>
        <w:spacing w:before="120" w:after="120" w:line="240" w:lineRule="auto"/>
        <w:jc w:val="both"/>
        <w:rPr>
          <w:rFonts w:ascii="Times New Roman" w:hAnsi="Times New Roman"/>
          <w:sz w:val="24"/>
          <w:szCs w:val="24"/>
        </w:rPr>
      </w:pPr>
      <w:r w:rsidRPr="00F958A8">
        <w:rPr>
          <w:rFonts w:ascii="Times New Roman" w:hAnsi="Times New Roman"/>
          <w:i/>
          <w:iCs/>
          <w:color w:val="000000"/>
          <w:sz w:val="24"/>
          <w:szCs w:val="24"/>
        </w:rPr>
        <w:t xml:space="preserve">ЕУ има заеднички правила за техничките и безбедносните стандарди, </w:t>
      </w:r>
      <w:r>
        <w:rPr>
          <w:rFonts w:ascii="Times New Roman" w:hAnsi="Times New Roman"/>
          <w:i/>
          <w:iCs/>
          <w:color w:val="000000"/>
          <w:sz w:val="24"/>
          <w:szCs w:val="24"/>
        </w:rPr>
        <w:t xml:space="preserve">за </w:t>
      </w:r>
      <w:r w:rsidRPr="00F958A8">
        <w:rPr>
          <w:rFonts w:ascii="Times New Roman" w:hAnsi="Times New Roman"/>
          <w:i/>
          <w:iCs/>
          <w:color w:val="000000"/>
          <w:sz w:val="24"/>
          <w:szCs w:val="24"/>
        </w:rPr>
        <w:t xml:space="preserve">безбедноста, </w:t>
      </w:r>
      <w:r>
        <w:rPr>
          <w:rFonts w:ascii="Times New Roman" w:hAnsi="Times New Roman"/>
          <w:i/>
          <w:iCs/>
          <w:color w:val="000000"/>
          <w:sz w:val="24"/>
          <w:szCs w:val="24"/>
        </w:rPr>
        <w:t xml:space="preserve">за </w:t>
      </w:r>
      <w:r w:rsidRPr="00F958A8">
        <w:rPr>
          <w:rFonts w:ascii="Times New Roman" w:hAnsi="Times New Roman"/>
          <w:i/>
          <w:iCs/>
          <w:color w:val="000000"/>
          <w:sz w:val="24"/>
          <w:szCs w:val="24"/>
        </w:rPr>
        <w:t xml:space="preserve">социјалните стандарди, </w:t>
      </w:r>
      <w:r>
        <w:rPr>
          <w:rFonts w:ascii="Times New Roman" w:hAnsi="Times New Roman"/>
          <w:i/>
          <w:iCs/>
          <w:color w:val="000000"/>
          <w:sz w:val="24"/>
          <w:szCs w:val="24"/>
        </w:rPr>
        <w:t xml:space="preserve">за </w:t>
      </w:r>
      <w:r w:rsidRPr="00F958A8">
        <w:rPr>
          <w:rFonts w:ascii="Times New Roman" w:hAnsi="Times New Roman"/>
          <w:i/>
          <w:iCs/>
          <w:color w:val="000000"/>
          <w:sz w:val="24"/>
          <w:szCs w:val="24"/>
        </w:rPr>
        <w:t xml:space="preserve">државната помош и пазарната либерализација во патниот сообраќај, </w:t>
      </w:r>
      <w:r>
        <w:rPr>
          <w:rFonts w:ascii="Times New Roman" w:hAnsi="Times New Roman"/>
          <w:i/>
          <w:iCs/>
          <w:color w:val="000000"/>
          <w:sz w:val="24"/>
          <w:szCs w:val="24"/>
        </w:rPr>
        <w:t xml:space="preserve">за </w:t>
      </w:r>
      <w:r w:rsidRPr="00F958A8">
        <w:rPr>
          <w:rFonts w:ascii="Times New Roman" w:hAnsi="Times New Roman"/>
          <w:i/>
          <w:iCs/>
          <w:color w:val="000000"/>
          <w:sz w:val="24"/>
          <w:szCs w:val="24"/>
        </w:rPr>
        <w:t xml:space="preserve">железничкиот сообраќај, </w:t>
      </w:r>
      <w:r>
        <w:rPr>
          <w:rFonts w:ascii="Times New Roman" w:hAnsi="Times New Roman"/>
          <w:i/>
          <w:iCs/>
          <w:color w:val="000000"/>
          <w:sz w:val="24"/>
          <w:szCs w:val="24"/>
        </w:rPr>
        <w:t xml:space="preserve">за </w:t>
      </w:r>
      <w:r w:rsidRPr="00F958A8">
        <w:rPr>
          <w:rFonts w:ascii="Times New Roman" w:hAnsi="Times New Roman"/>
          <w:i/>
          <w:iCs/>
          <w:color w:val="000000"/>
          <w:sz w:val="24"/>
          <w:szCs w:val="24"/>
        </w:rPr>
        <w:t xml:space="preserve">внатрешниот воден сообраќај, </w:t>
      </w:r>
      <w:r>
        <w:rPr>
          <w:rFonts w:ascii="Times New Roman" w:hAnsi="Times New Roman"/>
          <w:i/>
          <w:iCs/>
          <w:color w:val="000000"/>
          <w:sz w:val="24"/>
          <w:szCs w:val="24"/>
        </w:rPr>
        <w:t xml:space="preserve">за </w:t>
      </w:r>
      <w:r w:rsidRPr="00F958A8">
        <w:rPr>
          <w:rFonts w:ascii="Times New Roman" w:hAnsi="Times New Roman"/>
          <w:i/>
          <w:iCs/>
          <w:color w:val="000000"/>
          <w:sz w:val="24"/>
          <w:szCs w:val="24"/>
        </w:rPr>
        <w:t xml:space="preserve">комбинираниот сообраќај, </w:t>
      </w:r>
      <w:r>
        <w:rPr>
          <w:rFonts w:ascii="Times New Roman" w:hAnsi="Times New Roman"/>
          <w:i/>
          <w:iCs/>
          <w:color w:val="000000"/>
          <w:sz w:val="24"/>
          <w:szCs w:val="24"/>
        </w:rPr>
        <w:t xml:space="preserve">за </w:t>
      </w:r>
      <w:r w:rsidRPr="00F958A8">
        <w:rPr>
          <w:rFonts w:ascii="Times New Roman" w:hAnsi="Times New Roman"/>
          <w:i/>
          <w:iCs/>
          <w:color w:val="000000"/>
          <w:sz w:val="24"/>
          <w:szCs w:val="24"/>
        </w:rPr>
        <w:t xml:space="preserve">воздухопловството и </w:t>
      </w:r>
      <w:r>
        <w:rPr>
          <w:rFonts w:ascii="Times New Roman" w:hAnsi="Times New Roman"/>
          <w:i/>
          <w:iCs/>
          <w:color w:val="000000"/>
          <w:sz w:val="24"/>
          <w:szCs w:val="24"/>
        </w:rPr>
        <w:t xml:space="preserve">за </w:t>
      </w:r>
      <w:r w:rsidRPr="00F958A8">
        <w:rPr>
          <w:rFonts w:ascii="Times New Roman" w:hAnsi="Times New Roman"/>
          <w:i/>
          <w:iCs/>
          <w:color w:val="000000"/>
          <w:sz w:val="24"/>
          <w:szCs w:val="24"/>
        </w:rPr>
        <w:t>поморскиот сообраќај.</w:t>
      </w:r>
    </w:p>
    <w:p w:rsidR="00C82BEE" w:rsidRPr="00EF10B7"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EF10B7">
        <w:rPr>
          <w:rFonts w:ascii="Times New Roman" w:hAnsi="Times New Roman"/>
          <w:sz w:val="24"/>
          <w:szCs w:val="24"/>
        </w:rPr>
        <w:t xml:space="preserve">Земјата е </w:t>
      </w:r>
      <w:r w:rsidRPr="00EF10B7">
        <w:rPr>
          <w:rFonts w:ascii="Times New Roman" w:hAnsi="Times New Roman"/>
          <w:b/>
          <w:bCs/>
          <w:sz w:val="24"/>
          <w:szCs w:val="24"/>
        </w:rPr>
        <w:t xml:space="preserve">умерено подготвена </w:t>
      </w:r>
      <w:r w:rsidRPr="00EF10B7">
        <w:rPr>
          <w:rFonts w:ascii="Times New Roman" w:hAnsi="Times New Roman"/>
          <w:sz w:val="24"/>
          <w:szCs w:val="24"/>
        </w:rPr>
        <w:t xml:space="preserve">во областа на транспортот. Во извештајниот период беше постигнат </w:t>
      </w:r>
      <w:r w:rsidRPr="00EF10B7">
        <w:rPr>
          <w:rFonts w:ascii="Times New Roman" w:hAnsi="Times New Roman"/>
          <w:b/>
          <w:bCs/>
          <w:sz w:val="24"/>
          <w:szCs w:val="24"/>
        </w:rPr>
        <w:t xml:space="preserve">ограничен напредок во сите видови сообраќај </w:t>
      </w:r>
      <w:r w:rsidRPr="00EF10B7">
        <w:rPr>
          <w:rFonts w:ascii="Times New Roman" w:hAnsi="Times New Roman"/>
          <w:sz w:val="24"/>
          <w:szCs w:val="24"/>
        </w:rPr>
        <w:t>иако имаше делумно усогласување со законодавството за безбедност во воздухопловството. Во секторските инспекциски тела сѐ уште недостасува административен и оперативен капацитет. Сѐ уште нема политичка посветеност во испорачувањето на потребните реформи во секторот на железничкиот сообраќај.</w:t>
      </w:r>
    </w:p>
    <w:p w:rsidR="00C82BEE" w:rsidRPr="00F958A8"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 xml:space="preserve">Бидејќи препораките од минатата година не беа спроведени, тие остануваат во важност и </w:t>
      </w:r>
      <w:r>
        <w:rPr>
          <w:rFonts w:ascii="Times New Roman" w:hAnsi="Times New Roman"/>
          <w:color w:val="000000"/>
          <w:sz w:val="24"/>
          <w:szCs w:val="24"/>
        </w:rPr>
        <w:t>годинава</w:t>
      </w:r>
      <w:r w:rsidRPr="00F958A8">
        <w:rPr>
          <w:rFonts w:ascii="Times New Roman" w:hAnsi="Times New Roman"/>
          <w:color w:val="000000"/>
          <w:sz w:val="24"/>
          <w:szCs w:val="24"/>
        </w:rPr>
        <w:t>. Во наредната година, Северна Македонија особено треба:</w:t>
      </w:r>
    </w:p>
    <w:p w:rsidR="00C82BEE" w:rsidRPr="00F958A8"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w:t>
      </w:r>
      <w:r w:rsidRPr="00F958A8">
        <w:rPr>
          <w:rFonts w:ascii="Times New Roman" w:hAnsi="Times New Roman"/>
          <w:color w:val="000000"/>
          <w:sz w:val="24"/>
          <w:szCs w:val="24"/>
        </w:rPr>
        <w:tab/>
        <w:t xml:space="preserve">да осигури квалификуван оперативен и административен капацитет на инспекциските тела и да го развие нивниот капацитет за спроведување заради намалување на жртвите во патната и </w:t>
      </w:r>
      <w:r>
        <w:rPr>
          <w:rFonts w:ascii="Times New Roman" w:hAnsi="Times New Roman"/>
          <w:color w:val="000000"/>
          <w:sz w:val="24"/>
          <w:szCs w:val="24"/>
        </w:rPr>
        <w:t xml:space="preserve">во </w:t>
      </w:r>
      <w:r w:rsidRPr="00F958A8">
        <w:rPr>
          <w:rFonts w:ascii="Times New Roman" w:hAnsi="Times New Roman"/>
          <w:color w:val="000000"/>
          <w:sz w:val="24"/>
          <w:szCs w:val="24"/>
        </w:rPr>
        <w:t>железничката инфраструктура;</w:t>
      </w:r>
    </w:p>
    <w:p w:rsidR="00C82BEE" w:rsidRPr="00F958A8"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w:t>
      </w:r>
      <w:r w:rsidRPr="00F958A8">
        <w:rPr>
          <w:rFonts w:ascii="Times New Roman" w:hAnsi="Times New Roman"/>
          <w:color w:val="000000"/>
          <w:sz w:val="24"/>
          <w:szCs w:val="24"/>
        </w:rPr>
        <w:tab/>
        <w:t xml:space="preserve">да ги спроведе реформските мерки за поврзаност на железничкиот сообраќај и да го отвори пазарот на железничкиот транспорт, да го измени и </w:t>
      </w:r>
      <w:r>
        <w:rPr>
          <w:rFonts w:ascii="Times New Roman" w:hAnsi="Times New Roman"/>
          <w:color w:val="000000"/>
          <w:sz w:val="24"/>
          <w:szCs w:val="24"/>
        </w:rPr>
        <w:t xml:space="preserve">да го </w:t>
      </w:r>
      <w:r w:rsidRPr="00F958A8">
        <w:rPr>
          <w:rFonts w:ascii="Times New Roman" w:hAnsi="Times New Roman"/>
          <w:color w:val="000000"/>
          <w:sz w:val="24"/>
          <w:szCs w:val="24"/>
        </w:rPr>
        <w:t>дополни националното право со цел да ги отстрани прекршувањата на одредбите од Договорот за транспортна заедница за отворање на пазарот на железничкиот транспорт и да ги финализира договорите/протоколите за граничен премин што се во тек;</w:t>
      </w:r>
    </w:p>
    <w:p w:rsidR="00C82BEE" w:rsidRPr="00F958A8"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w:t>
      </w:r>
      <w:r w:rsidRPr="00F958A8">
        <w:rPr>
          <w:rFonts w:ascii="Times New Roman" w:hAnsi="Times New Roman"/>
          <w:color w:val="000000"/>
          <w:sz w:val="24"/>
          <w:szCs w:val="24"/>
        </w:rPr>
        <w:tab/>
        <w:t xml:space="preserve">да донесе и </w:t>
      </w:r>
      <w:r>
        <w:rPr>
          <w:rFonts w:ascii="Times New Roman" w:hAnsi="Times New Roman"/>
          <w:color w:val="000000"/>
          <w:sz w:val="24"/>
          <w:szCs w:val="24"/>
        </w:rPr>
        <w:t xml:space="preserve">да </w:t>
      </w:r>
      <w:r w:rsidRPr="00F958A8">
        <w:rPr>
          <w:rFonts w:ascii="Times New Roman" w:hAnsi="Times New Roman"/>
          <w:color w:val="000000"/>
          <w:sz w:val="24"/>
          <w:szCs w:val="24"/>
        </w:rPr>
        <w:t>спроведе законодавство за интелигентни транспортни системи (ИТС).</w:t>
      </w:r>
    </w:p>
    <w:p w:rsidR="00C82BEE" w:rsidRPr="00F958A8" w:rsidRDefault="00C82BEE" w:rsidP="008D6AE4">
      <w:pPr>
        <w:shd w:val="clear" w:color="auto" w:fill="FFFFF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 xml:space="preserve">Во однос на </w:t>
      </w:r>
      <w:r w:rsidRPr="00F958A8">
        <w:rPr>
          <w:rFonts w:ascii="Times New Roman" w:hAnsi="Times New Roman"/>
          <w:b/>
          <w:bCs/>
          <w:color w:val="000000"/>
          <w:sz w:val="24"/>
          <w:szCs w:val="24"/>
        </w:rPr>
        <w:t xml:space="preserve">општото </w:t>
      </w:r>
      <w:r w:rsidRPr="00F958A8">
        <w:rPr>
          <w:rFonts w:ascii="Times New Roman" w:hAnsi="Times New Roman"/>
          <w:i/>
          <w:iCs/>
          <w:color w:val="000000"/>
          <w:sz w:val="24"/>
          <w:szCs w:val="24"/>
        </w:rPr>
        <w:t>право на ЕУ за транспорт</w:t>
      </w:r>
      <w:r w:rsidRPr="00F958A8">
        <w:rPr>
          <w:rFonts w:ascii="Times New Roman" w:hAnsi="Times New Roman"/>
          <w:color w:val="000000"/>
          <w:sz w:val="24"/>
          <w:szCs w:val="24"/>
        </w:rPr>
        <w:t xml:space="preserve">, воспоставени </w:t>
      </w:r>
      <w:r>
        <w:rPr>
          <w:rFonts w:ascii="Times New Roman" w:hAnsi="Times New Roman"/>
          <w:color w:val="000000"/>
          <w:sz w:val="24"/>
          <w:szCs w:val="24"/>
        </w:rPr>
        <w:t xml:space="preserve">се </w:t>
      </w:r>
      <w:r w:rsidRPr="00F958A8">
        <w:rPr>
          <w:rFonts w:ascii="Times New Roman" w:hAnsi="Times New Roman"/>
          <w:color w:val="000000"/>
          <w:sz w:val="24"/>
          <w:szCs w:val="24"/>
        </w:rPr>
        <w:t xml:space="preserve">клучните </w:t>
      </w:r>
      <w:r w:rsidR="009642BF">
        <w:rPr>
          <w:rFonts w:ascii="Times New Roman" w:hAnsi="Times New Roman"/>
          <w:color w:val="000000"/>
          <w:sz w:val="24"/>
          <w:szCs w:val="24"/>
        </w:rPr>
        <w:t>стратешки</w:t>
      </w:r>
      <w:r w:rsidR="009642BF" w:rsidRPr="00F958A8">
        <w:rPr>
          <w:rFonts w:ascii="Times New Roman" w:hAnsi="Times New Roman"/>
          <w:color w:val="000000"/>
          <w:sz w:val="24"/>
          <w:szCs w:val="24"/>
        </w:rPr>
        <w:t xml:space="preserve"> </w:t>
      </w:r>
      <w:r w:rsidRPr="00F958A8">
        <w:rPr>
          <w:rFonts w:ascii="Times New Roman" w:hAnsi="Times New Roman"/>
          <w:color w:val="000000"/>
          <w:sz w:val="24"/>
          <w:szCs w:val="24"/>
        </w:rPr>
        <w:t xml:space="preserve">документи за транспорт и </w:t>
      </w:r>
      <w:r>
        <w:rPr>
          <w:rFonts w:ascii="Times New Roman" w:hAnsi="Times New Roman"/>
          <w:color w:val="000000"/>
          <w:sz w:val="24"/>
          <w:szCs w:val="24"/>
        </w:rPr>
        <w:t xml:space="preserve">за </w:t>
      </w:r>
      <w:r w:rsidRPr="00F958A8">
        <w:rPr>
          <w:rFonts w:ascii="Times New Roman" w:hAnsi="Times New Roman"/>
          <w:color w:val="000000"/>
          <w:sz w:val="24"/>
          <w:szCs w:val="24"/>
        </w:rPr>
        <w:t>неговите потсектори. Постигнат е ограничен напредок во развојот на акциски план што ќе ја придружува Националната транспортна стратегија за 2018-2030 година. Постигнат е напредок во подготовката на Националната стратегија за ИТС, но таа сѐ уште не е одобрена, а националните закони сѐ уште не се усогласени со Директивата за ИТС.</w:t>
      </w:r>
    </w:p>
    <w:p w:rsidR="00C82BEE" w:rsidRPr="00F958A8" w:rsidRDefault="00C82BEE" w:rsidP="008D6AE4">
      <w:pPr>
        <w:shd w:val="clear" w:color="auto" w:fill="FFFFF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Сѐ уште не постојат оперативни и административни капацитети за сите видови транспорт и не се вложени никакви напори за нивно зајакнување. Резултатот на оваа состојба е неефикасно спроведување на Зелената агенда за земјите од Западен Балкан. Законот за истраги на воздухопловни и железнички несреќи сѐ уште не е целосно спроведен. Сѐ уште не е формирано независно тело за истрага на железнички несреќи. Поголемите градови треба да развијат планови за одржлива урбана мобилност што ги почитуваат еколошките и општествените стандарди, притоа следејќи ги најдобрите практики на ЕУ. Потребни се дополнителни напори за усогласување со правото на ЕУ за услуги за јавен железнички и патен превоз.</w:t>
      </w:r>
    </w:p>
    <w:p w:rsidR="00C82BEE" w:rsidRPr="00F958A8" w:rsidRDefault="00C82BEE" w:rsidP="008D6AE4">
      <w:pPr>
        <w:shd w:val="clear" w:color="auto" w:fill="FFFFF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Иако Северна Македонија е активно вклучена во работата на Транспортната заедница, сепак</w:t>
      </w:r>
      <w:r>
        <w:rPr>
          <w:rFonts w:ascii="Times New Roman" w:hAnsi="Times New Roman"/>
          <w:color w:val="000000"/>
          <w:sz w:val="24"/>
          <w:szCs w:val="24"/>
        </w:rPr>
        <w:t xml:space="preserve"> е</w:t>
      </w:r>
      <w:r w:rsidRPr="00F958A8">
        <w:rPr>
          <w:rFonts w:ascii="Times New Roman" w:hAnsi="Times New Roman"/>
          <w:color w:val="000000"/>
          <w:sz w:val="24"/>
          <w:szCs w:val="24"/>
        </w:rPr>
        <w:t xml:space="preserve"> постигнат ограничен напредок во спроведувањето на акцискиот план за Договорот за транспортна заедница, како и во спроведувањето на елементите на стратегијата за одржлива мобилност за земјите од Западен Балкан.</w:t>
      </w:r>
    </w:p>
    <w:p w:rsidR="00C82BEE" w:rsidRPr="00F958A8" w:rsidRDefault="00C82BEE" w:rsidP="008D6AE4">
      <w:pPr>
        <w:shd w:val="clear" w:color="auto" w:fill="FFFFF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 xml:space="preserve">Правната рамка за </w:t>
      </w:r>
      <w:r w:rsidRPr="00F958A8">
        <w:rPr>
          <w:rFonts w:ascii="Times New Roman" w:hAnsi="Times New Roman"/>
          <w:b/>
          <w:bCs/>
          <w:color w:val="000000"/>
          <w:sz w:val="24"/>
          <w:szCs w:val="24"/>
        </w:rPr>
        <w:t xml:space="preserve">патен транспорт </w:t>
      </w:r>
      <w:r w:rsidRPr="00F958A8">
        <w:rPr>
          <w:rFonts w:ascii="Times New Roman" w:hAnsi="Times New Roman"/>
          <w:color w:val="000000"/>
          <w:sz w:val="24"/>
          <w:szCs w:val="24"/>
        </w:rPr>
        <w:t xml:space="preserve">е во голема мера усогласена со </w:t>
      </w:r>
      <w:r w:rsidRPr="00F958A8">
        <w:rPr>
          <w:rFonts w:ascii="Times New Roman" w:hAnsi="Times New Roman"/>
          <w:i/>
          <w:iCs/>
          <w:color w:val="000000"/>
          <w:sz w:val="24"/>
          <w:szCs w:val="24"/>
        </w:rPr>
        <w:t xml:space="preserve">правото на ЕУ </w:t>
      </w:r>
      <w:r w:rsidRPr="00F958A8">
        <w:rPr>
          <w:rFonts w:ascii="Times New Roman" w:hAnsi="Times New Roman"/>
          <w:color w:val="000000"/>
          <w:sz w:val="24"/>
          <w:szCs w:val="24"/>
        </w:rPr>
        <w:t>и не е постигнат напредок за време на извештајниот период</w:t>
      </w:r>
      <w:r w:rsidRPr="00F958A8">
        <w:rPr>
          <w:rFonts w:ascii="Times New Roman" w:hAnsi="Times New Roman"/>
          <w:i/>
          <w:iCs/>
          <w:color w:val="000000"/>
          <w:sz w:val="24"/>
          <w:szCs w:val="24"/>
        </w:rPr>
        <w:t xml:space="preserve">. </w:t>
      </w:r>
      <w:r w:rsidRPr="00F958A8">
        <w:rPr>
          <w:rFonts w:ascii="Times New Roman" w:hAnsi="Times New Roman"/>
          <w:color w:val="000000"/>
          <w:sz w:val="24"/>
          <w:szCs w:val="24"/>
        </w:rPr>
        <w:t xml:space="preserve">Законот за опасни материи е усогласен со </w:t>
      </w:r>
      <w:r w:rsidRPr="00F958A8">
        <w:rPr>
          <w:rFonts w:ascii="Times New Roman" w:hAnsi="Times New Roman"/>
          <w:i/>
          <w:iCs/>
          <w:color w:val="000000"/>
          <w:sz w:val="24"/>
          <w:szCs w:val="24"/>
        </w:rPr>
        <w:t xml:space="preserve">правото на ЕУ, </w:t>
      </w:r>
      <w:r w:rsidRPr="00F958A8">
        <w:rPr>
          <w:rFonts w:ascii="Times New Roman" w:hAnsi="Times New Roman"/>
          <w:color w:val="000000"/>
          <w:sz w:val="24"/>
          <w:szCs w:val="24"/>
        </w:rPr>
        <w:t xml:space="preserve">но сѐ уште не е назначено правно лице за спроведување на процената на сообразноста на постојната опрема за транспорт на опасни материи. Сѐ уште не е формирано извршно тело за безбедност во патниот сообраќај бидејќи законот сѐ уште не е донесен. Потребни се дополнителни напори за усогласување со </w:t>
      </w:r>
      <w:r w:rsidRPr="00F958A8">
        <w:rPr>
          <w:rFonts w:ascii="Times New Roman" w:hAnsi="Times New Roman"/>
          <w:i/>
          <w:iCs/>
          <w:color w:val="000000"/>
          <w:sz w:val="24"/>
          <w:szCs w:val="24"/>
        </w:rPr>
        <w:t>правото на ЕУ</w:t>
      </w:r>
      <w:r w:rsidRPr="00F958A8">
        <w:rPr>
          <w:rFonts w:ascii="Times New Roman" w:hAnsi="Times New Roman"/>
          <w:color w:val="000000"/>
          <w:sz w:val="24"/>
          <w:szCs w:val="24"/>
        </w:rPr>
        <w:t xml:space="preserve"> во областа на социјалната заштита и </w:t>
      </w:r>
      <w:r>
        <w:rPr>
          <w:rFonts w:ascii="Times New Roman" w:hAnsi="Times New Roman"/>
          <w:color w:val="000000"/>
          <w:sz w:val="24"/>
          <w:szCs w:val="24"/>
        </w:rPr>
        <w:t xml:space="preserve">на </w:t>
      </w:r>
      <w:r w:rsidRPr="00F958A8">
        <w:rPr>
          <w:rFonts w:ascii="Times New Roman" w:hAnsi="Times New Roman"/>
          <w:color w:val="000000"/>
          <w:sz w:val="24"/>
          <w:szCs w:val="24"/>
        </w:rPr>
        <w:t xml:space="preserve">безбедноста. Сѐ уште треба да се воспостави национално тело за истрага на несреќи. Слично на тоа, не се </w:t>
      </w:r>
      <w:r>
        <w:rPr>
          <w:rFonts w:ascii="Times New Roman" w:hAnsi="Times New Roman"/>
          <w:color w:val="000000"/>
          <w:sz w:val="24"/>
          <w:szCs w:val="24"/>
        </w:rPr>
        <w:t>донесени</w:t>
      </w:r>
      <w:r w:rsidRPr="00F958A8">
        <w:rPr>
          <w:rFonts w:ascii="Times New Roman" w:hAnsi="Times New Roman"/>
          <w:color w:val="000000"/>
          <w:sz w:val="24"/>
          <w:szCs w:val="24"/>
        </w:rPr>
        <w:t xml:space="preserve"> ниту спроведени акциски планови за инспекција и </w:t>
      </w:r>
      <w:r>
        <w:rPr>
          <w:rFonts w:ascii="Times New Roman" w:hAnsi="Times New Roman"/>
          <w:color w:val="000000"/>
          <w:sz w:val="24"/>
          <w:szCs w:val="24"/>
        </w:rPr>
        <w:t xml:space="preserve">за </w:t>
      </w:r>
      <w:r w:rsidRPr="00F958A8">
        <w:rPr>
          <w:rFonts w:ascii="Times New Roman" w:hAnsi="Times New Roman"/>
          <w:color w:val="000000"/>
          <w:sz w:val="24"/>
          <w:szCs w:val="24"/>
        </w:rPr>
        <w:t xml:space="preserve">ревизија на безбедноста на патиштата. Подобрени се опсегот и квалитетот на статистиките за безбедност на патиштата, меѓутоа потребни се дополнителни чекори за целосно усогласување со </w:t>
      </w:r>
      <w:r w:rsidRPr="00F958A8">
        <w:rPr>
          <w:rFonts w:ascii="Times New Roman" w:hAnsi="Times New Roman"/>
          <w:i/>
          <w:iCs/>
          <w:color w:val="000000"/>
          <w:sz w:val="24"/>
          <w:szCs w:val="24"/>
        </w:rPr>
        <w:t>правото на ЕУ</w:t>
      </w:r>
      <w:r w:rsidRPr="00F958A8">
        <w:rPr>
          <w:rFonts w:ascii="Times New Roman" w:hAnsi="Times New Roman"/>
          <w:color w:val="000000"/>
          <w:sz w:val="24"/>
          <w:szCs w:val="24"/>
        </w:rPr>
        <w:t xml:space="preserve">. Капацитетите за спроведување и техничките капацитети на Државниот инспекторат за транспорт и понатаму остануваат слаби. Казните за непочитување на Европскиот договор за работа на екипажите на возилата што вршат меѓународен патен транспорт (AETR) и понатаму остануваат неусогласени. Петгодишниот план за одржување на патиштата не е објавен уште од 2017 година; одржувањето на патиштата и понатаму се спроведува неефикасно и треба да се подобри. Потребни се повеќе напори за понатамошно усогласување со </w:t>
      </w:r>
      <w:r w:rsidRPr="00F958A8">
        <w:rPr>
          <w:rFonts w:ascii="Times New Roman" w:hAnsi="Times New Roman"/>
          <w:i/>
          <w:iCs/>
          <w:color w:val="000000"/>
          <w:sz w:val="24"/>
          <w:szCs w:val="24"/>
        </w:rPr>
        <w:t xml:space="preserve">правото на ЕУ </w:t>
      </w:r>
      <w:r w:rsidRPr="00F958A8">
        <w:rPr>
          <w:rFonts w:ascii="Times New Roman" w:hAnsi="Times New Roman"/>
          <w:color w:val="000000"/>
          <w:sz w:val="24"/>
          <w:szCs w:val="24"/>
        </w:rPr>
        <w:t xml:space="preserve">за управување со безбедноста на патиштата, како и со минималните безбедносни барања за тунели во трансевропската мрежа. Законодавството за возила за патен транспорт </w:t>
      </w:r>
      <w:r>
        <w:rPr>
          <w:rFonts w:ascii="Times New Roman" w:hAnsi="Times New Roman"/>
          <w:color w:val="000000"/>
          <w:sz w:val="24"/>
          <w:szCs w:val="24"/>
        </w:rPr>
        <w:t>што</w:t>
      </w:r>
      <w:r w:rsidRPr="00F958A8">
        <w:rPr>
          <w:rFonts w:ascii="Times New Roman" w:hAnsi="Times New Roman"/>
          <w:color w:val="000000"/>
          <w:sz w:val="24"/>
          <w:szCs w:val="24"/>
        </w:rPr>
        <w:t xml:space="preserve"> користат чиста енергија и се енергетски ефикасни</w:t>
      </w:r>
      <w:r>
        <w:rPr>
          <w:rFonts w:ascii="Times New Roman" w:hAnsi="Times New Roman"/>
          <w:color w:val="000000"/>
          <w:sz w:val="24"/>
          <w:szCs w:val="24"/>
        </w:rPr>
        <w:t>,</w:t>
      </w:r>
      <w:r w:rsidRPr="00F958A8">
        <w:rPr>
          <w:rFonts w:ascii="Times New Roman" w:hAnsi="Times New Roman"/>
          <w:color w:val="000000"/>
          <w:sz w:val="24"/>
          <w:szCs w:val="24"/>
        </w:rPr>
        <w:t xml:space="preserve"> не е усогласено со </w:t>
      </w:r>
      <w:r w:rsidRPr="00F958A8">
        <w:rPr>
          <w:rFonts w:ascii="Times New Roman" w:hAnsi="Times New Roman"/>
          <w:i/>
          <w:iCs/>
          <w:color w:val="000000"/>
          <w:sz w:val="24"/>
          <w:szCs w:val="24"/>
        </w:rPr>
        <w:t>правото на ЕУ</w:t>
      </w:r>
      <w:r w:rsidRPr="00F958A8">
        <w:rPr>
          <w:rFonts w:ascii="Times New Roman" w:hAnsi="Times New Roman"/>
          <w:color w:val="000000"/>
          <w:sz w:val="24"/>
          <w:szCs w:val="24"/>
        </w:rPr>
        <w:t>.</w:t>
      </w:r>
    </w:p>
    <w:p w:rsidR="00C82BEE" w:rsidRPr="00F958A8" w:rsidRDefault="00C82BEE" w:rsidP="008D6AE4">
      <w:pPr>
        <w:shd w:val="clear" w:color="auto" w:fill="FFFFF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 xml:space="preserve">Во однос на </w:t>
      </w:r>
      <w:r w:rsidRPr="00F958A8">
        <w:rPr>
          <w:rFonts w:ascii="Times New Roman" w:hAnsi="Times New Roman"/>
          <w:b/>
          <w:bCs/>
          <w:color w:val="000000"/>
          <w:sz w:val="24"/>
          <w:szCs w:val="24"/>
        </w:rPr>
        <w:t>железничкиот транспорт</w:t>
      </w:r>
      <w:r w:rsidRPr="00F958A8">
        <w:rPr>
          <w:rFonts w:ascii="Times New Roman" w:hAnsi="Times New Roman"/>
          <w:color w:val="000000"/>
          <w:sz w:val="24"/>
          <w:szCs w:val="24"/>
        </w:rPr>
        <w:t xml:space="preserve">, исполнети се главните услови на </w:t>
      </w:r>
      <w:r w:rsidRPr="00F958A8">
        <w:rPr>
          <w:rFonts w:ascii="Times New Roman" w:hAnsi="Times New Roman"/>
          <w:i/>
          <w:iCs/>
          <w:color w:val="000000"/>
          <w:sz w:val="24"/>
          <w:szCs w:val="24"/>
        </w:rPr>
        <w:t xml:space="preserve">правото на ЕУ </w:t>
      </w:r>
      <w:r w:rsidRPr="006B55F4">
        <w:rPr>
          <w:rFonts w:ascii="Times New Roman" w:hAnsi="Times New Roman"/>
          <w:iCs/>
          <w:color w:val="000000"/>
          <w:sz w:val="24"/>
          <w:szCs w:val="24"/>
        </w:rPr>
        <w:t>во однос на</w:t>
      </w:r>
      <w:r w:rsidRPr="00F958A8">
        <w:rPr>
          <w:rFonts w:ascii="Times New Roman" w:hAnsi="Times New Roman"/>
          <w:color w:val="000000"/>
          <w:sz w:val="24"/>
          <w:szCs w:val="24"/>
        </w:rPr>
        <w:t xml:space="preserve"> раздвојувањето на управителот на инфраструктура и државниот оператор. Понатамошното усогласување со големи делови од </w:t>
      </w:r>
      <w:r w:rsidRPr="00F958A8">
        <w:rPr>
          <w:rFonts w:ascii="Times New Roman" w:hAnsi="Times New Roman"/>
          <w:i/>
          <w:iCs/>
          <w:color w:val="000000"/>
          <w:sz w:val="24"/>
          <w:szCs w:val="24"/>
        </w:rPr>
        <w:t xml:space="preserve">правото на ЕУ </w:t>
      </w:r>
      <w:r w:rsidRPr="00F958A8">
        <w:rPr>
          <w:rFonts w:ascii="Times New Roman" w:hAnsi="Times New Roman"/>
          <w:color w:val="000000"/>
          <w:sz w:val="24"/>
          <w:szCs w:val="24"/>
        </w:rPr>
        <w:t>од Единствената европска железничка област</w:t>
      </w:r>
      <w:r>
        <w:rPr>
          <w:rFonts w:ascii="Times New Roman" w:hAnsi="Times New Roman"/>
          <w:color w:val="000000"/>
          <w:sz w:val="24"/>
          <w:szCs w:val="24"/>
        </w:rPr>
        <w:t>,</w:t>
      </w:r>
      <w:r w:rsidRPr="00F958A8">
        <w:rPr>
          <w:rFonts w:ascii="Times New Roman" w:hAnsi="Times New Roman"/>
          <w:color w:val="000000"/>
          <w:sz w:val="24"/>
          <w:szCs w:val="24"/>
        </w:rPr>
        <w:t xml:space="preserve"> продолжува да се одложува. Пазарот на железничкиот транспорт допрва треба да се отвори на домашно ниво. Во 2016 година беше </w:t>
      </w:r>
      <w:r>
        <w:rPr>
          <w:rFonts w:ascii="Times New Roman" w:hAnsi="Times New Roman"/>
          <w:color w:val="000000"/>
          <w:sz w:val="24"/>
          <w:szCs w:val="24"/>
        </w:rPr>
        <w:t>донесено</w:t>
      </w:r>
      <w:r w:rsidRPr="00F958A8">
        <w:rPr>
          <w:rFonts w:ascii="Times New Roman" w:hAnsi="Times New Roman"/>
          <w:color w:val="000000"/>
          <w:sz w:val="24"/>
          <w:szCs w:val="24"/>
        </w:rPr>
        <w:t xml:space="preserve"> изменетото законодавство за безбедност и интероперабилност во железничкиот сообраќај, но недостасува соодветно спроведување. </w:t>
      </w:r>
      <w:r>
        <w:rPr>
          <w:rFonts w:ascii="Times New Roman" w:hAnsi="Times New Roman"/>
          <w:color w:val="000000"/>
          <w:sz w:val="24"/>
          <w:szCs w:val="24"/>
        </w:rPr>
        <w:t>П</w:t>
      </w:r>
      <w:r w:rsidRPr="00F958A8">
        <w:rPr>
          <w:rFonts w:ascii="Times New Roman" w:hAnsi="Times New Roman"/>
          <w:color w:val="000000"/>
          <w:sz w:val="24"/>
          <w:szCs w:val="24"/>
        </w:rPr>
        <w:t xml:space="preserve">очнати се подготовки за зајакнување на оперативните капацитети на </w:t>
      </w:r>
      <w:r w:rsidR="00AB065D">
        <w:rPr>
          <w:rFonts w:ascii="Times New Roman" w:hAnsi="Times New Roman"/>
          <w:color w:val="000000"/>
          <w:sz w:val="24"/>
          <w:szCs w:val="24"/>
        </w:rPr>
        <w:t>Управа за сигурност во железничкиот систем</w:t>
      </w:r>
      <w:r w:rsidRPr="00F958A8">
        <w:rPr>
          <w:rFonts w:ascii="Times New Roman" w:hAnsi="Times New Roman"/>
          <w:color w:val="000000"/>
          <w:sz w:val="24"/>
          <w:szCs w:val="24"/>
        </w:rPr>
        <w:t>. Нема</w:t>
      </w:r>
      <w:r w:rsidRPr="00F958A8">
        <w:rPr>
          <w:rFonts w:ascii="Times New Roman" w:hAnsi="Times New Roman"/>
          <w:sz w:val="24"/>
          <w:szCs w:val="24"/>
        </w:rPr>
        <w:t xml:space="preserve"> </w:t>
      </w:r>
      <w:r w:rsidRPr="00F958A8">
        <w:rPr>
          <w:rFonts w:ascii="Times New Roman" w:hAnsi="Times New Roman"/>
          <w:color w:val="000000"/>
          <w:sz w:val="24"/>
          <w:szCs w:val="24"/>
        </w:rPr>
        <w:t>напредок во формирањето тело за истраги и несреќи. Договорот за прекугранична железничка соработка со Грција допрва треба да се финализира.</w:t>
      </w:r>
    </w:p>
    <w:p w:rsidR="00C82BEE" w:rsidRPr="00F958A8" w:rsidRDefault="00C82BEE" w:rsidP="008D6AE4">
      <w:pPr>
        <w:shd w:val="clear" w:color="auto" w:fill="FFFFF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 xml:space="preserve">Во однос на </w:t>
      </w:r>
      <w:r w:rsidRPr="00F958A8">
        <w:rPr>
          <w:rFonts w:ascii="Times New Roman" w:hAnsi="Times New Roman"/>
          <w:b/>
          <w:bCs/>
          <w:color w:val="000000"/>
          <w:sz w:val="24"/>
          <w:szCs w:val="24"/>
        </w:rPr>
        <w:t>поморскиот транспорт</w:t>
      </w:r>
      <w:r w:rsidRPr="00F958A8">
        <w:rPr>
          <w:rFonts w:ascii="Times New Roman" w:hAnsi="Times New Roman"/>
          <w:color w:val="000000"/>
          <w:sz w:val="24"/>
          <w:szCs w:val="24"/>
        </w:rPr>
        <w:t>, Северна Македонија, како земја без излез на море, учествува во сите основни транспортни конвенции на Меѓународната поморска организација, вклучувајќи ја и Европската агенција за поморска безбедност (EMSA).</w:t>
      </w:r>
    </w:p>
    <w:p w:rsidR="00C82BEE" w:rsidRPr="00F958A8" w:rsidRDefault="00C82BEE" w:rsidP="008D6AE4">
      <w:pPr>
        <w:shd w:val="clear" w:color="auto" w:fill="FFFFF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 xml:space="preserve">Во областа на </w:t>
      </w:r>
      <w:r w:rsidRPr="00F958A8">
        <w:rPr>
          <w:rFonts w:ascii="Times New Roman" w:hAnsi="Times New Roman"/>
          <w:b/>
          <w:bCs/>
          <w:color w:val="000000"/>
          <w:sz w:val="24"/>
          <w:szCs w:val="24"/>
        </w:rPr>
        <w:t>внатрешниот воден транспорт</w:t>
      </w:r>
      <w:r w:rsidRPr="00F958A8">
        <w:rPr>
          <w:rFonts w:ascii="Times New Roman" w:hAnsi="Times New Roman"/>
          <w:color w:val="000000"/>
          <w:sz w:val="24"/>
          <w:szCs w:val="24"/>
        </w:rPr>
        <w:t xml:space="preserve">, Северна Македонија е усогласена со поголемиот дел од </w:t>
      </w:r>
      <w:r w:rsidRPr="00F958A8">
        <w:rPr>
          <w:rFonts w:ascii="Times New Roman" w:hAnsi="Times New Roman"/>
          <w:i/>
          <w:iCs/>
          <w:color w:val="000000"/>
          <w:sz w:val="24"/>
          <w:szCs w:val="24"/>
        </w:rPr>
        <w:t>правото на ЕУ</w:t>
      </w:r>
      <w:r w:rsidRPr="00F958A8">
        <w:rPr>
          <w:rFonts w:ascii="Times New Roman" w:hAnsi="Times New Roman"/>
          <w:color w:val="000000"/>
          <w:sz w:val="24"/>
          <w:szCs w:val="24"/>
        </w:rPr>
        <w:t xml:space="preserve">, но не и со Регулативата за признавање сертификати и превоз на стоки и патници. Земјата не учествува во Стратегијата на ЕУ за развој на Дунавскиот </w:t>
      </w:r>
      <w:r>
        <w:rPr>
          <w:rFonts w:ascii="Times New Roman" w:hAnsi="Times New Roman"/>
          <w:color w:val="000000"/>
          <w:sz w:val="24"/>
          <w:szCs w:val="24"/>
        </w:rPr>
        <w:t>Р</w:t>
      </w:r>
      <w:r w:rsidRPr="00F958A8">
        <w:rPr>
          <w:rFonts w:ascii="Times New Roman" w:hAnsi="Times New Roman"/>
          <w:color w:val="000000"/>
          <w:sz w:val="24"/>
          <w:szCs w:val="24"/>
        </w:rPr>
        <w:t>егион, но продолжува активно да придонесува во Меѓународната комисија за сливот на реката Сава. Потребни се поголеми напори за усогласување на законодавството со општите правила што се применливи за патниците што патуваат преку внатрешните водни патишта.</w:t>
      </w:r>
    </w:p>
    <w:p w:rsidR="00C82BEE" w:rsidRPr="00F958A8" w:rsidRDefault="00C82BEE" w:rsidP="008D6AE4">
      <w:pPr>
        <w:shd w:val="clear" w:color="auto" w:fill="FFFFF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 xml:space="preserve">Во областа на </w:t>
      </w:r>
      <w:r w:rsidRPr="00F958A8">
        <w:rPr>
          <w:rFonts w:ascii="Times New Roman" w:hAnsi="Times New Roman"/>
          <w:b/>
          <w:bCs/>
          <w:color w:val="000000"/>
          <w:sz w:val="24"/>
          <w:szCs w:val="24"/>
        </w:rPr>
        <w:t>воздухопловството</w:t>
      </w:r>
      <w:r w:rsidRPr="00F958A8">
        <w:rPr>
          <w:rFonts w:ascii="Times New Roman" w:hAnsi="Times New Roman"/>
          <w:color w:val="000000"/>
          <w:sz w:val="24"/>
          <w:szCs w:val="24"/>
        </w:rPr>
        <w:t xml:space="preserve">, земјата одржува добро ниво на усогласеност со </w:t>
      </w:r>
      <w:r w:rsidRPr="00F958A8">
        <w:rPr>
          <w:rFonts w:ascii="Times New Roman" w:hAnsi="Times New Roman"/>
          <w:i/>
          <w:iCs/>
          <w:color w:val="000000"/>
          <w:sz w:val="24"/>
          <w:szCs w:val="24"/>
        </w:rPr>
        <w:t xml:space="preserve">правото на ЕУ </w:t>
      </w:r>
      <w:r w:rsidRPr="00F958A8">
        <w:rPr>
          <w:rFonts w:ascii="Times New Roman" w:hAnsi="Times New Roman"/>
          <w:color w:val="000000"/>
          <w:sz w:val="24"/>
          <w:szCs w:val="24"/>
        </w:rPr>
        <w:t>и делумно се усогласи со законодавството за безбедност во воздухопловството. Сè уште се потребни повеќе напори за олеснување на инспекциите за стандардизација на Европската агенција за безбедност во воздухопловството.</w:t>
      </w:r>
    </w:p>
    <w:p w:rsidR="00C82BEE" w:rsidRPr="00F958A8" w:rsidRDefault="00C82BEE" w:rsidP="008D6AE4">
      <w:pPr>
        <w:shd w:val="clear" w:color="auto" w:fill="FFFFF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 xml:space="preserve">Во областа на </w:t>
      </w:r>
      <w:r w:rsidRPr="00F958A8">
        <w:rPr>
          <w:rFonts w:ascii="Times New Roman" w:hAnsi="Times New Roman"/>
          <w:b/>
          <w:bCs/>
          <w:color w:val="000000"/>
          <w:sz w:val="24"/>
          <w:szCs w:val="24"/>
        </w:rPr>
        <w:t xml:space="preserve">комбинираниот сообраќај, </w:t>
      </w:r>
      <w:r w:rsidRPr="00F958A8">
        <w:rPr>
          <w:rFonts w:ascii="Times New Roman" w:hAnsi="Times New Roman"/>
          <w:color w:val="000000"/>
          <w:sz w:val="24"/>
          <w:szCs w:val="24"/>
        </w:rPr>
        <w:t>постигнат е напредок и технички експерти почнаа со поставување мултимодален јазол во близина на Скопје. Конкретното законодавство е делумно усогласено со правилата на ЕУ. Потребен е напредок во донесувањето релевантно законодавство и во поставувањето системи за електронска размена на информации за товарен сообраќај.</w:t>
      </w:r>
    </w:p>
    <w:p w:rsidR="00C82BEE" w:rsidRPr="00F958A8" w:rsidRDefault="00C82BEE" w:rsidP="008D6AE4">
      <w:pPr>
        <w:shd w:val="clear" w:color="auto" w:fill="FFFFF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 xml:space="preserve">Северна Македонија треба да ги зголеми напорите за усогласување и </w:t>
      </w:r>
      <w:r>
        <w:rPr>
          <w:rFonts w:ascii="Times New Roman" w:hAnsi="Times New Roman"/>
          <w:color w:val="000000"/>
          <w:sz w:val="24"/>
          <w:szCs w:val="24"/>
        </w:rPr>
        <w:t xml:space="preserve">за </w:t>
      </w:r>
      <w:r w:rsidRPr="00F958A8">
        <w:rPr>
          <w:rFonts w:ascii="Times New Roman" w:hAnsi="Times New Roman"/>
          <w:color w:val="000000"/>
          <w:sz w:val="24"/>
          <w:szCs w:val="24"/>
        </w:rPr>
        <w:t xml:space="preserve">спроведување на </w:t>
      </w:r>
      <w:r w:rsidRPr="00F958A8">
        <w:rPr>
          <w:rFonts w:ascii="Times New Roman" w:hAnsi="Times New Roman"/>
          <w:b/>
          <w:bCs/>
          <w:color w:val="000000"/>
          <w:sz w:val="24"/>
          <w:szCs w:val="24"/>
        </w:rPr>
        <w:t>правото на ЕУ за правата на патниците</w:t>
      </w:r>
      <w:r w:rsidRPr="00F958A8">
        <w:rPr>
          <w:rFonts w:ascii="Times New Roman" w:hAnsi="Times New Roman"/>
          <w:i/>
          <w:iCs/>
          <w:color w:val="000000"/>
          <w:sz w:val="24"/>
          <w:szCs w:val="24"/>
        </w:rPr>
        <w:t>.</w:t>
      </w:r>
    </w:p>
    <w:p w:rsidR="00C82BEE" w:rsidRPr="00F958A8" w:rsidRDefault="00C82BEE" w:rsidP="008D6AE4">
      <w:pPr>
        <w:pStyle w:val="Heading2"/>
      </w:pPr>
      <w:bookmarkStart w:id="92" w:name="bookmark55"/>
      <w:bookmarkStart w:id="93" w:name="_Toc150864281"/>
      <w:r w:rsidRPr="00F958A8">
        <w:t>П</w:t>
      </w:r>
      <w:bookmarkEnd w:id="92"/>
      <w:r w:rsidRPr="00F958A8">
        <w:t>оглавје 15: Енергија</w:t>
      </w:r>
      <w:bookmarkEnd w:id="93"/>
    </w:p>
    <w:p w:rsidR="00C82BEE" w:rsidRPr="00F958A8" w:rsidRDefault="00C82BEE" w:rsidP="008D6AE4">
      <w:pPr>
        <w:shd w:val="clear" w:color="auto" w:fill="FFFFFF"/>
        <w:spacing w:before="120" w:after="120" w:line="240" w:lineRule="auto"/>
        <w:jc w:val="both"/>
        <w:rPr>
          <w:rFonts w:ascii="Times New Roman" w:hAnsi="Times New Roman"/>
          <w:sz w:val="24"/>
          <w:szCs w:val="24"/>
        </w:rPr>
      </w:pPr>
      <w:r w:rsidRPr="00F958A8">
        <w:rPr>
          <w:rFonts w:ascii="Times New Roman" w:hAnsi="Times New Roman"/>
          <w:i/>
          <w:iCs/>
          <w:color w:val="000000"/>
          <w:sz w:val="24"/>
          <w:szCs w:val="24"/>
        </w:rPr>
        <w:t>Енергетската политика на ЕУ опфаќа снабдување со енергија, инфраструктура, внатрешен пазар на енергија, потрошувачи, обновлива енергија, енергетска ефикасност, нуклеарна енергија и нуклеарна безбедност, заштита од радијација и нуклеарна заштита.</w:t>
      </w:r>
    </w:p>
    <w:p w:rsidR="00C82BEE" w:rsidRPr="00F958A8"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 xml:space="preserve">Северна Македонија е </w:t>
      </w:r>
      <w:r w:rsidRPr="00F958A8">
        <w:rPr>
          <w:rFonts w:ascii="Times New Roman" w:hAnsi="Times New Roman"/>
          <w:b/>
          <w:bCs/>
          <w:color w:val="000000"/>
          <w:sz w:val="24"/>
          <w:szCs w:val="24"/>
        </w:rPr>
        <w:t xml:space="preserve">умерено подготвена </w:t>
      </w:r>
      <w:r w:rsidRPr="00F958A8">
        <w:rPr>
          <w:rFonts w:ascii="Times New Roman" w:hAnsi="Times New Roman"/>
          <w:color w:val="000000"/>
          <w:sz w:val="24"/>
          <w:szCs w:val="24"/>
        </w:rPr>
        <w:t xml:space="preserve">во областа на енергетиката. Постигнат е </w:t>
      </w:r>
      <w:r w:rsidRPr="00F958A8">
        <w:rPr>
          <w:rFonts w:ascii="Times New Roman" w:hAnsi="Times New Roman"/>
          <w:b/>
          <w:bCs/>
          <w:color w:val="000000"/>
          <w:sz w:val="24"/>
          <w:szCs w:val="24"/>
        </w:rPr>
        <w:t xml:space="preserve">одреден напредок </w:t>
      </w:r>
      <w:r w:rsidRPr="00F958A8">
        <w:rPr>
          <w:rFonts w:ascii="Times New Roman" w:hAnsi="Times New Roman"/>
          <w:color w:val="000000"/>
          <w:sz w:val="24"/>
          <w:szCs w:val="24"/>
        </w:rPr>
        <w:t xml:space="preserve">во однос на регионалните гасни </w:t>
      </w:r>
      <w:r w:rsidRPr="00A01EDB">
        <w:rPr>
          <w:rFonts w:ascii="Times New Roman" w:hAnsi="Times New Roman"/>
          <w:color w:val="000000"/>
          <w:sz w:val="24"/>
          <w:szCs w:val="24"/>
        </w:rPr>
        <w:t>интерконекции</w:t>
      </w:r>
      <w:r w:rsidRPr="00F958A8">
        <w:rPr>
          <w:rFonts w:ascii="Times New Roman" w:hAnsi="Times New Roman"/>
          <w:color w:val="000000"/>
          <w:sz w:val="24"/>
          <w:szCs w:val="24"/>
        </w:rPr>
        <w:t xml:space="preserve"> и обновливите извори на енергија, преку инвестиции во соларни електрани. Како што покажа енергетската криза, Северна Македонија треба да ја забрза својата транзиција кон зелена енергија и да ја намали зависноста од гас и јаглен.</w:t>
      </w:r>
    </w:p>
    <w:p w:rsidR="00C82BEE" w:rsidRPr="00F958A8"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Бидејќи минатогодишните препораки не беа целосно спроведени, во наредната година земјата особено треба:</w:t>
      </w:r>
    </w:p>
    <w:p w:rsidR="00C82BEE" w:rsidRPr="00F958A8"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w:t>
      </w:r>
      <w:r w:rsidRPr="00F958A8">
        <w:rPr>
          <w:rFonts w:ascii="Times New Roman" w:hAnsi="Times New Roman"/>
          <w:color w:val="000000"/>
          <w:sz w:val="24"/>
          <w:szCs w:val="24"/>
        </w:rPr>
        <w:tab/>
        <w:t xml:space="preserve">да осигури кохерентна енергетска политика, да ги подобри управувањето и институционалните капацитети во енергетскиот сектор, како и да го подобри стратешкото програмирање на инвестиции и да ја забрза транзицијата кон зелена енергија во согласност со Зелената агенда за земјите од Западен Балкан и Националната стратегија за развој на енергетиката, како и да го ажурира и </w:t>
      </w:r>
      <w:r>
        <w:rPr>
          <w:rFonts w:ascii="Times New Roman" w:hAnsi="Times New Roman"/>
          <w:color w:val="000000"/>
          <w:sz w:val="24"/>
          <w:szCs w:val="24"/>
        </w:rPr>
        <w:t xml:space="preserve">да го </w:t>
      </w:r>
      <w:r w:rsidRPr="00F958A8">
        <w:rPr>
          <w:rFonts w:ascii="Times New Roman" w:hAnsi="Times New Roman"/>
          <w:color w:val="000000"/>
          <w:sz w:val="24"/>
          <w:szCs w:val="24"/>
        </w:rPr>
        <w:t xml:space="preserve">спроведе Националниот план за енергија и клима (НПЕК), во согласност со климатските и </w:t>
      </w:r>
      <w:r>
        <w:rPr>
          <w:rFonts w:ascii="Times New Roman" w:hAnsi="Times New Roman"/>
          <w:color w:val="000000"/>
          <w:sz w:val="24"/>
          <w:szCs w:val="24"/>
        </w:rPr>
        <w:t xml:space="preserve">со </w:t>
      </w:r>
      <w:r w:rsidRPr="00F958A8">
        <w:rPr>
          <w:rFonts w:ascii="Times New Roman" w:hAnsi="Times New Roman"/>
          <w:color w:val="000000"/>
          <w:sz w:val="24"/>
          <w:szCs w:val="24"/>
        </w:rPr>
        <w:t>енергетските цели на Енергетската заедница до 2030 година;</w:t>
      </w:r>
    </w:p>
    <w:p w:rsidR="00C82BEE" w:rsidRPr="00F958A8"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w:t>
      </w:r>
      <w:r w:rsidRPr="00F958A8">
        <w:rPr>
          <w:rFonts w:ascii="Times New Roman" w:hAnsi="Times New Roman"/>
          <w:color w:val="000000"/>
          <w:sz w:val="24"/>
          <w:szCs w:val="24"/>
        </w:rPr>
        <w:tab/>
        <w:t>да го донесе и да го спроведе законодавството за спроведување енергетска ефикасност;</w:t>
      </w:r>
    </w:p>
    <w:p w:rsidR="00C82BEE" w:rsidRPr="00F958A8"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w:t>
      </w:r>
      <w:r w:rsidRPr="00F958A8">
        <w:rPr>
          <w:rFonts w:ascii="Times New Roman" w:hAnsi="Times New Roman"/>
          <w:color w:val="000000"/>
          <w:sz w:val="24"/>
          <w:szCs w:val="24"/>
        </w:rPr>
        <w:tab/>
        <w:t>да го заврши раздвојувањето (сертифицирањето) на операторите на системите за пренос на гас и да поттикне развој на пазарот, како и интеграција на регионалниот пазар</w:t>
      </w:r>
      <w:r>
        <w:rPr>
          <w:rFonts w:ascii="Times New Roman" w:hAnsi="Times New Roman"/>
          <w:color w:val="000000"/>
          <w:sz w:val="24"/>
          <w:szCs w:val="24"/>
        </w:rPr>
        <w:t>.</w:t>
      </w:r>
    </w:p>
    <w:p w:rsidR="00C82BEE" w:rsidRPr="00F958A8" w:rsidRDefault="00C82BEE" w:rsidP="008D6AE4">
      <w:pPr>
        <w:shd w:val="clear" w:color="auto" w:fill="FFFFF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 xml:space="preserve">Во декември 2022 година </w:t>
      </w:r>
      <w:r>
        <w:rPr>
          <w:rFonts w:ascii="Times New Roman" w:hAnsi="Times New Roman"/>
          <w:color w:val="000000"/>
          <w:sz w:val="24"/>
          <w:szCs w:val="24"/>
        </w:rPr>
        <w:t>В</w:t>
      </w:r>
      <w:r w:rsidRPr="00F958A8">
        <w:rPr>
          <w:rFonts w:ascii="Times New Roman" w:hAnsi="Times New Roman"/>
          <w:color w:val="000000"/>
          <w:sz w:val="24"/>
          <w:szCs w:val="24"/>
        </w:rPr>
        <w:t>ладата донесе Национален акциски план за енергија</w:t>
      </w:r>
      <w:r>
        <w:rPr>
          <w:rFonts w:ascii="Times New Roman" w:hAnsi="Times New Roman"/>
          <w:color w:val="000000"/>
          <w:sz w:val="24"/>
          <w:szCs w:val="24"/>
        </w:rPr>
        <w:t>,</w:t>
      </w:r>
      <w:r w:rsidRPr="00F958A8">
        <w:rPr>
          <w:rFonts w:ascii="Times New Roman" w:hAnsi="Times New Roman"/>
          <w:color w:val="000000"/>
          <w:sz w:val="24"/>
          <w:szCs w:val="24"/>
        </w:rPr>
        <w:t xml:space="preserve"> кој опфаќа мерки за олеснување на социо-економското влијание на енергетската криза во Северна Македонија, како и преглед на стратешката, </w:t>
      </w:r>
      <w:r>
        <w:rPr>
          <w:rFonts w:ascii="Times New Roman" w:hAnsi="Times New Roman"/>
          <w:color w:val="000000"/>
          <w:sz w:val="24"/>
          <w:szCs w:val="24"/>
        </w:rPr>
        <w:t xml:space="preserve">на </w:t>
      </w:r>
      <w:r w:rsidRPr="00F958A8">
        <w:rPr>
          <w:rFonts w:ascii="Times New Roman" w:hAnsi="Times New Roman"/>
          <w:color w:val="000000"/>
          <w:sz w:val="24"/>
          <w:szCs w:val="24"/>
        </w:rPr>
        <w:t xml:space="preserve">институционалната и </w:t>
      </w:r>
      <w:r>
        <w:rPr>
          <w:rFonts w:ascii="Times New Roman" w:hAnsi="Times New Roman"/>
          <w:color w:val="000000"/>
          <w:sz w:val="24"/>
          <w:szCs w:val="24"/>
        </w:rPr>
        <w:t xml:space="preserve">на </w:t>
      </w:r>
      <w:r w:rsidRPr="00F958A8">
        <w:rPr>
          <w:rFonts w:ascii="Times New Roman" w:hAnsi="Times New Roman"/>
          <w:color w:val="000000"/>
          <w:sz w:val="24"/>
          <w:szCs w:val="24"/>
        </w:rPr>
        <w:t>законодавната рамка на енергетскиот сектор. Акцискиот план ја формираше основата за политички дијалог за Пакетот за енергетска поддршка на ЕУ (од 80 милиони евра).</w:t>
      </w:r>
    </w:p>
    <w:p w:rsidR="00C82BEE" w:rsidRPr="00F958A8" w:rsidRDefault="00C82BEE" w:rsidP="008D6AE4">
      <w:pPr>
        <w:shd w:val="clear" w:color="auto" w:fill="FFFFF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Потребата за кохерентна и координирана енергетска политика стана уште позабележителна со енергетските кризи. Владата треба да ги зголеми административните капацитети за справување со енергетската политика, стратешко планирање и инвестиции</w:t>
      </w:r>
      <w:r>
        <w:rPr>
          <w:rFonts w:ascii="Times New Roman" w:hAnsi="Times New Roman"/>
          <w:color w:val="000000"/>
          <w:sz w:val="24"/>
          <w:szCs w:val="24"/>
        </w:rPr>
        <w:t>те</w:t>
      </w:r>
      <w:r w:rsidRPr="00F958A8">
        <w:rPr>
          <w:rFonts w:ascii="Times New Roman" w:hAnsi="Times New Roman"/>
          <w:color w:val="000000"/>
          <w:sz w:val="24"/>
          <w:szCs w:val="24"/>
        </w:rPr>
        <w:t xml:space="preserve"> во енергетскиот сектор.</w:t>
      </w:r>
    </w:p>
    <w:p w:rsidR="00C82BEE" w:rsidRPr="00F958A8" w:rsidRDefault="00C82BEE" w:rsidP="008D6AE4">
      <w:pPr>
        <w:shd w:val="clear" w:color="auto" w:fill="FFFFF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 xml:space="preserve">Во однос на </w:t>
      </w:r>
      <w:r w:rsidRPr="00F958A8">
        <w:rPr>
          <w:rFonts w:ascii="Times New Roman" w:hAnsi="Times New Roman"/>
          <w:b/>
          <w:bCs/>
          <w:color w:val="000000"/>
          <w:sz w:val="24"/>
          <w:szCs w:val="24"/>
        </w:rPr>
        <w:t>безбедноста на снабдувањето</w:t>
      </w:r>
      <w:r w:rsidRPr="00EF10B7">
        <w:rPr>
          <w:rFonts w:ascii="Times New Roman" w:hAnsi="Times New Roman"/>
          <w:bCs/>
          <w:color w:val="000000"/>
          <w:sz w:val="24"/>
          <w:szCs w:val="24"/>
        </w:rPr>
        <w:t>,</w:t>
      </w:r>
      <w:r w:rsidRPr="00F958A8">
        <w:rPr>
          <w:rFonts w:ascii="Times New Roman" w:hAnsi="Times New Roman"/>
          <w:b/>
          <w:bCs/>
          <w:color w:val="000000"/>
          <w:sz w:val="24"/>
          <w:szCs w:val="24"/>
        </w:rPr>
        <w:t xml:space="preserve"> </w:t>
      </w:r>
      <w:r w:rsidRPr="00F958A8">
        <w:rPr>
          <w:rFonts w:ascii="Times New Roman" w:hAnsi="Times New Roman"/>
          <w:color w:val="000000"/>
          <w:sz w:val="24"/>
          <w:szCs w:val="24"/>
        </w:rPr>
        <w:t xml:space="preserve">енергетските кризи прикажаа дека земјата е зависна од јаглен и дека треба да се забрза транзицијата кон зелена енергија. Термоцентралите во Битола и </w:t>
      </w:r>
      <w:r>
        <w:rPr>
          <w:rFonts w:ascii="Times New Roman" w:hAnsi="Times New Roman"/>
          <w:color w:val="000000"/>
          <w:sz w:val="24"/>
          <w:szCs w:val="24"/>
        </w:rPr>
        <w:t xml:space="preserve">во </w:t>
      </w:r>
      <w:r w:rsidRPr="00F958A8">
        <w:rPr>
          <w:rFonts w:ascii="Times New Roman" w:hAnsi="Times New Roman"/>
          <w:color w:val="000000"/>
          <w:sz w:val="24"/>
          <w:szCs w:val="24"/>
        </w:rPr>
        <w:t xml:space="preserve">Осломеј работеа на јаглен од ограничени домашни извори и </w:t>
      </w:r>
      <w:r>
        <w:rPr>
          <w:rFonts w:ascii="Times New Roman" w:hAnsi="Times New Roman"/>
          <w:color w:val="000000"/>
          <w:sz w:val="24"/>
          <w:szCs w:val="24"/>
        </w:rPr>
        <w:t>од увоз</w:t>
      </w:r>
      <w:r w:rsidRPr="00F958A8">
        <w:rPr>
          <w:rFonts w:ascii="Times New Roman" w:hAnsi="Times New Roman"/>
          <w:color w:val="000000"/>
          <w:sz w:val="24"/>
          <w:szCs w:val="24"/>
        </w:rPr>
        <w:t xml:space="preserve">. Недостапноста на јаглен за термоцентралата во Битола и понатаму треба итно да се реши со вложување во нови обновливи извори. Агенцијата за задолжителни нафтени резерви донесе Акциски план за формирање задолжителни резерви за 2023-2025 година за ослободување на резервите во итен случај. </w:t>
      </w:r>
      <w:r>
        <w:rPr>
          <w:rFonts w:ascii="Times New Roman" w:hAnsi="Times New Roman"/>
          <w:color w:val="000000"/>
          <w:sz w:val="24"/>
          <w:szCs w:val="24"/>
        </w:rPr>
        <w:t>Резервите</w:t>
      </w:r>
      <w:r w:rsidRPr="00F958A8">
        <w:rPr>
          <w:rFonts w:ascii="Times New Roman" w:hAnsi="Times New Roman"/>
          <w:color w:val="000000"/>
          <w:sz w:val="24"/>
          <w:szCs w:val="24"/>
        </w:rPr>
        <w:t xml:space="preserve"> на нафта се доволни за најмалку 53 дена просечна дневна потрошувачка.</w:t>
      </w:r>
    </w:p>
    <w:p w:rsidR="00C82BEE" w:rsidRPr="00F958A8" w:rsidRDefault="00C82BEE" w:rsidP="008D6AE4">
      <w:pPr>
        <w:shd w:val="clear" w:color="auto" w:fill="FFFFF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Во тек е изградбата на нова 400kV интерконекциска линија за пренос на електрична енергија со Албанија. Воспоставен е пазар за купопродажба на електрична енергија ден однапред, а процесот на неговата интеграција со Бугарија напредува, иако сѐ уште се чека создавањето пазар за купопродажба на електрична енергија во тековниот ден. Во однос на гасните интерконекции, Владата ја финализираше првичната фаза за дизајнирање на конструкцијата на интерконекциската линија со Грција и подготви студии за изводливост за линија до Србија и до Косово.</w:t>
      </w:r>
    </w:p>
    <w:p w:rsidR="00C82BEE" w:rsidRPr="00F958A8" w:rsidRDefault="00C82BEE" w:rsidP="008D6AE4">
      <w:pPr>
        <w:shd w:val="clear" w:color="auto" w:fill="FFFFF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 xml:space="preserve">Во однос на </w:t>
      </w:r>
      <w:r w:rsidRPr="00F958A8">
        <w:rPr>
          <w:rFonts w:ascii="Times New Roman" w:hAnsi="Times New Roman"/>
          <w:b/>
          <w:bCs/>
          <w:color w:val="000000"/>
          <w:sz w:val="24"/>
          <w:szCs w:val="24"/>
        </w:rPr>
        <w:t>внатрешниот пазар на енергија</w:t>
      </w:r>
      <w:r w:rsidRPr="00F958A8">
        <w:rPr>
          <w:rFonts w:ascii="Times New Roman" w:hAnsi="Times New Roman"/>
          <w:color w:val="000000"/>
          <w:sz w:val="24"/>
          <w:szCs w:val="24"/>
        </w:rPr>
        <w:t xml:space="preserve">, националната рамка е усогласена со третиот енергетски пакет на ЕУ за гас и електрична енергија, а пазарите за електрична енергија и </w:t>
      </w:r>
      <w:r>
        <w:rPr>
          <w:rFonts w:ascii="Times New Roman" w:hAnsi="Times New Roman"/>
          <w:color w:val="000000"/>
          <w:sz w:val="24"/>
          <w:szCs w:val="24"/>
        </w:rPr>
        <w:t xml:space="preserve">за </w:t>
      </w:r>
      <w:r w:rsidRPr="00F958A8">
        <w:rPr>
          <w:rFonts w:ascii="Times New Roman" w:hAnsi="Times New Roman"/>
          <w:color w:val="000000"/>
          <w:sz w:val="24"/>
          <w:szCs w:val="24"/>
        </w:rPr>
        <w:t>гас се отворени за конкуренција. Сепак, се чека транспонирањето и спроведувањето на новодонесениот пакет за интеграција на електрична енергија.</w:t>
      </w:r>
    </w:p>
    <w:p w:rsidR="00C82BEE" w:rsidRPr="00F958A8" w:rsidRDefault="00C82BEE" w:rsidP="008D6AE4">
      <w:pPr>
        <w:shd w:val="clear" w:color="auto" w:fill="FFFFF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 xml:space="preserve">Операторите за пренос и дистрибуција на електрична енергија се раздвоени во согласност со </w:t>
      </w:r>
      <w:r w:rsidRPr="00F958A8">
        <w:rPr>
          <w:rFonts w:ascii="Times New Roman" w:hAnsi="Times New Roman"/>
          <w:i/>
          <w:iCs/>
          <w:color w:val="000000"/>
          <w:sz w:val="24"/>
          <w:szCs w:val="24"/>
        </w:rPr>
        <w:t>правото на ЕУ</w:t>
      </w:r>
      <w:r w:rsidRPr="00F958A8">
        <w:rPr>
          <w:rFonts w:ascii="Times New Roman" w:hAnsi="Times New Roman"/>
          <w:color w:val="000000"/>
          <w:sz w:val="24"/>
          <w:szCs w:val="24"/>
        </w:rPr>
        <w:t xml:space="preserve">. Операторот на системот за пренос на гас сè уште не е сертифициран како што се бара со третиот енергетски пакет. </w:t>
      </w:r>
      <w:r>
        <w:rPr>
          <w:rFonts w:ascii="Times New Roman" w:hAnsi="Times New Roman"/>
          <w:color w:val="000000"/>
          <w:sz w:val="24"/>
          <w:szCs w:val="24"/>
        </w:rPr>
        <w:t>Донесени</w:t>
      </w:r>
      <w:r w:rsidRPr="00F958A8">
        <w:rPr>
          <w:rFonts w:ascii="Times New Roman" w:hAnsi="Times New Roman"/>
          <w:color w:val="000000"/>
          <w:sz w:val="24"/>
          <w:szCs w:val="24"/>
        </w:rPr>
        <w:t xml:space="preserve"> се измени и дополнувања на Законот за енергетика, </w:t>
      </w:r>
      <w:r>
        <w:rPr>
          <w:rFonts w:ascii="Times New Roman" w:hAnsi="Times New Roman"/>
          <w:color w:val="000000"/>
          <w:sz w:val="24"/>
          <w:szCs w:val="24"/>
        </w:rPr>
        <w:t>со кои се преземени</w:t>
      </w:r>
      <w:r w:rsidRPr="00F958A8">
        <w:rPr>
          <w:rFonts w:ascii="Times New Roman" w:hAnsi="Times New Roman"/>
          <w:color w:val="000000"/>
          <w:sz w:val="24"/>
          <w:szCs w:val="24"/>
        </w:rPr>
        <w:t xml:space="preserve"> Регулативата за интегритет и транспарентност на пазарот на енергија на големо (REMIT) и регулативите на ТЕН-Е.</w:t>
      </w:r>
    </w:p>
    <w:p w:rsidR="00C82BEE" w:rsidRPr="00F958A8" w:rsidRDefault="00C82BEE" w:rsidP="008D6AE4">
      <w:pPr>
        <w:shd w:val="clear" w:color="auto" w:fill="FFFFF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 xml:space="preserve">Пристапот на трети страни до инфраструктурата за природен гас е во согласност со </w:t>
      </w:r>
      <w:r w:rsidRPr="00F958A8">
        <w:rPr>
          <w:rFonts w:ascii="Times New Roman" w:hAnsi="Times New Roman"/>
          <w:i/>
          <w:iCs/>
          <w:color w:val="000000"/>
          <w:sz w:val="24"/>
          <w:szCs w:val="24"/>
        </w:rPr>
        <w:t>правото на ЕУ</w:t>
      </w:r>
      <w:r w:rsidRPr="00F958A8">
        <w:rPr>
          <w:rFonts w:ascii="Times New Roman" w:hAnsi="Times New Roman"/>
          <w:color w:val="000000"/>
          <w:sz w:val="24"/>
          <w:szCs w:val="24"/>
        </w:rPr>
        <w:t>, но потребно е да се подобри транспарентноста. Напредуваат работите за изградба на гасоводот помеѓу Скопје, Тетово и Гостивар. Во тек е тендерска постапка за доделување јавно-приватно партнерство за систем за дистрибуција на гас.</w:t>
      </w:r>
    </w:p>
    <w:p w:rsidR="00C82BEE" w:rsidRPr="00F958A8" w:rsidRDefault="00C82BEE" w:rsidP="008D6AE4">
      <w:pPr>
        <w:shd w:val="clear" w:color="auto" w:fill="FFFFF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Продажните цени на гасот на големо се целосно дерегулирани; сепак пазарот останува неликвиден, без виртуелна точка за тргување. Сите договори се склучуваат билатерално, на месечна и на годишна основа.</w:t>
      </w:r>
    </w:p>
    <w:p w:rsidR="00C82BEE" w:rsidRPr="00F958A8" w:rsidRDefault="00C82BEE" w:rsidP="008D6AE4">
      <w:pPr>
        <w:shd w:val="clear" w:color="auto" w:fill="FFFFF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Регулаторната комисија за енергетика е во функција и продолжува да покажува независност во работењето. Комисијата за заштита на конкуренцијата спроведе истрага во врска со продажбата на електрична енергија на компанија за универзално снабдување. Државниот завод за ревизија изврши неколку ревизии во врска со енергетската криза и операторите. Операторот на системот за пренос на електрична енергија мора да постапи по наодите од ревизорските извештаи од 2016 и 2023 година и да го подобри своето работење.</w:t>
      </w:r>
    </w:p>
    <w:p w:rsidR="00C82BEE" w:rsidRPr="00F958A8" w:rsidRDefault="00C82BEE" w:rsidP="008D6AE4">
      <w:pPr>
        <w:shd w:val="clear" w:color="auto" w:fill="FFFFF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 xml:space="preserve">Во областа на </w:t>
      </w:r>
      <w:r w:rsidRPr="00AB2BAD">
        <w:rPr>
          <w:rFonts w:ascii="Times New Roman" w:hAnsi="Times New Roman"/>
          <w:b/>
          <w:bCs/>
          <w:color w:val="000000"/>
          <w:sz w:val="24"/>
          <w:szCs w:val="24"/>
        </w:rPr>
        <w:t>јаглеводородите</w:t>
      </w:r>
      <w:r w:rsidRPr="00F958A8">
        <w:rPr>
          <w:rFonts w:ascii="Times New Roman" w:hAnsi="Times New Roman"/>
          <w:color w:val="000000"/>
          <w:sz w:val="24"/>
          <w:szCs w:val="24"/>
        </w:rPr>
        <w:t>, Законот за минерални суровини останува да се усогласи со Директивата за лиценцирање јаглеводороди.</w:t>
      </w:r>
    </w:p>
    <w:p w:rsidR="00C82BEE" w:rsidRPr="00F958A8" w:rsidRDefault="00C82BEE" w:rsidP="008D6AE4">
      <w:pPr>
        <w:shd w:val="clear" w:color="auto" w:fill="FFFFF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 xml:space="preserve">Во однос на </w:t>
      </w:r>
      <w:r w:rsidRPr="00F958A8">
        <w:rPr>
          <w:rFonts w:ascii="Times New Roman" w:hAnsi="Times New Roman"/>
          <w:b/>
          <w:bCs/>
          <w:color w:val="000000"/>
          <w:sz w:val="24"/>
          <w:szCs w:val="24"/>
        </w:rPr>
        <w:t>обновливите извори на енергија</w:t>
      </w:r>
      <w:r w:rsidRPr="00F958A8">
        <w:rPr>
          <w:rFonts w:ascii="Times New Roman" w:hAnsi="Times New Roman"/>
          <w:color w:val="000000"/>
          <w:sz w:val="24"/>
          <w:szCs w:val="24"/>
        </w:rPr>
        <w:t>, останува да се транспонира Директивата за обновливи извори на енергија (ДОИЕ). Со измените и дополнувањата на Законот за енергетика, донесувањето на Националниот план за енергија и клима (НПЕК) станува законска обврска за државата, заменувајќи го Акцискиот план за обновливи извори на енергија (АПОИЕ). НПЕК постави цел процентот на обновливи извори на енергија во финалната бруто</w:t>
      </w:r>
      <w:r>
        <w:rPr>
          <w:rFonts w:ascii="Times New Roman" w:hAnsi="Times New Roman"/>
          <w:color w:val="000000"/>
          <w:sz w:val="24"/>
          <w:szCs w:val="24"/>
        </w:rPr>
        <w:t>-</w:t>
      </w:r>
      <w:r w:rsidRPr="00F958A8">
        <w:rPr>
          <w:rFonts w:ascii="Times New Roman" w:hAnsi="Times New Roman"/>
          <w:color w:val="000000"/>
          <w:sz w:val="24"/>
          <w:szCs w:val="24"/>
        </w:rPr>
        <w:t>потрошувачка на енергија во 2030 година да биде 38 %, а индикативната цел за 2023 година е 26 %. Уделот на АПОИЕ во бруто</w:t>
      </w:r>
      <w:r>
        <w:rPr>
          <w:rFonts w:ascii="Times New Roman" w:hAnsi="Times New Roman"/>
          <w:color w:val="000000"/>
          <w:sz w:val="24"/>
          <w:szCs w:val="24"/>
        </w:rPr>
        <w:t>-</w:t>
      </w:r>
      <w:r w:rsidRPr="00F958A8">
        <w:rPr>
          <w:rFonts w:ascii="Times New Roman" w:hAnsi="Times New Roman"/>
          <w:color w:val="000000"/>
          <w:sz w:val="24"/>
          <w:szCs w:val="24"/>
        </w:rPr>
        <w:t>финалната потрошувачка на енергија за 2022 година изнесуваше 18,8 %. Инвестициите</w:t>
      </w:r>
      <w:r>
        <w:rPr>
          <w:rFonts w:ascii="Times New Roman" w:hAnsi="Times New Roman"/>
          <w:color w:val="000000"/>
          <w:sz w:val="24"/>
          <w:szCs w:val="24"/>
        </w:rPr>
        <w:t xml:space="preserve"> </w:t>
      </w:r>
      <w:r w:rsidRPr="00F958A8">
        <w:rPr>
          <w:rFonts w:ascii="Times New Roman" w:hAnsi="Times New Roman"/>
          <w:color w:val="000000"/>
          <w:sz w:val="24"/>
          <w:szCs w:val="24"/>
        </w:rPr>
        <w:t>во</w:t>
      </w:r>
      <w:r w:rsidRPr="00F958A8">
        <w:rPr>
          <w:rFonts w:ascii="Times New Roman" w:hAnsi="Times New Roman"/>
          <w:sz w:val="24"/>
          <w:szCs w:val="24"/>
        </w:rPr>
        <w:t xml:space="preserve"> </w:t>
      </w:r>
      <w:r w:rsidRPr="00F958A8">
        <w:rPr>
          <w:rFonts w:ascii="Times New Roman" w:hAnsi="Times New Roman"/>
          <w:color w:val="000000"/>
          <w:sz w:val="24"/>
          <w:szCs w:val="24"/>
        </w:rPr>
        <w:t xml:space="preserve">хидроенергија треба да бидат усогласени со релевантното </w:t>
      </w:r>
      <w:r w:rsidRPr="00F958A8">
        <w:rPr>
          <w:rFonts w:ascii="Times New Roman" w:hAnsi="Times New Roman"/>
          <w:i/>
          <w:iCs/>
          <w:color w:val="000000"/>
          <w:sz w:val="24"/>
          <w:szCs w:val="24"/>
        </w:rPr>
        <w:t xml:space="preserve">право на ЕУ </w:t>
      </w:r>
      <w:r w:rsidRPr="00F958A8">
        <w:rPr>
          <w:rFonts w:ascii="Times New Roman" w:hAnsi="Times New Roman"/>
          <w:color w:val="000000"/>
          <w:sz w:val="24"/>
          <w:szCs w:val="24"/>
        </w:rPr>
        <w:t>за животна средина. Оптимизацијата на услугите за балансирање и инвестиции во преносот на енергија и складирање енергија</w:t>
      </w:r>
      <w:r>
        <w:rPr>
          <w:rFonts w:ascii="Times New Roman" w:hAnsi="Times New Roman"/>
          <w:color w:val="000000"/>
          <w:sz w:val="24"/>
          <w:szCs w:val="24"/>
        </w:rPr>
        <w:t>,</w:t>
      </w:r>
      <w:r w:rsidRPr="00F958A8">
        <w:rPr>
          <w:rFonts w:ascii="Times New Roman" w:hAnsi="Times New Roman"/>
          <w:color w:val="000000"/>
          <w:sz w:val="24"/>
          <w:szCs w:val="24"/>
        </w:rPr>
        <w:t xml:space="preserve"> треба да се унапреди за да се подобри интеграцијата на извори за обновлива енергија во мрежата. Неопходна е надградба на мрежниот систем.</w:t>
      </w:r>
    </w:p>
    <w:p w:rsidR="00C82BEE" w:rsidRPr="00F958A8" w:rsidRDefault="00C82BEE" w:rsidP="008D6AE4">
      <w:pPr>
        <w:shd w:val="clear" w:color="auto" w:fill="FFFFF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 xml:space="preserve">Мора да се отстрани ограничувањето на капацитетот по тип технологија за обновлива енергија за да се овозможи постигнување на целта за обновливи извори на енергија до 2025 година. Нема воспоставен електронски систем за издавање, пренос и за откажување на гаранциите за потекло. Потрошувачите на електрична енергија </w:t>
      </w:r>
      <w:r>
        <w:rPr>
          <w:rFonts w:ascii="Times New Roman" w:hAnsi="Times New Roman"/>
          <w:color w:val="000000"/>
          <w:sz w:val="24"/>
          <w:szCs w:val="24"/>
        </w:rPr>
        <w:t>што</w:t>
      </w:r>
      <w:r w:rsidRPr="00F958A8">
        <w:rPr>
          <w:rFonts w:ascii="Times New Roman" w:hAnsi="Times New Roman"/>
          <w:color w:val="000000"/>
          <w:sz w:val="24"/>
          <w:szCs w:val="24"/>
        </w:rPr>
        <w:t xml:space="preserve"> се и производители на електрична енергија се поддржани со Правилникот за обновливи извори и спроведувањето треба да биде подобрено. </w:t>
      </w:r>
      <w:r>
        <w:rPr>
          <w:rFonts w:ascii="Times New Roman" w:hAnsi="Times New Roman"/>
          <w:color w:val="000000"/>
          <w:sz w:val="24"/>
          <w:szCs w:val="24"/>
        </w:rPr>
        <w:t>Постапките</w:t>
      </w:r>
      <w:r w:rsidRPr="00F958A8">
        <w:rPr>
          <w:rFonts w:ascii="Times New Roman" w:hAnsi="Times New Roman"/>
          <w:color w:val="000000"/>
          <w:sz w:val="24"/>
          <w:szCs w:val="24"/>
        </w:rPr>
        <w:t xml:space="preserve"> за поставувањето фотоволтаици на згради се </w:t>
      </w:r>
      <w:r>
        <w:rPr>
          <w:rFonts w:ascii="Times New Roman" w:hAnsi="Times New Roman"/>
          <w:color w:val="000000"/>
          <w:sz w:val="24"/>
          <w:szCs w:val="24"/>
        </w:rPr>
        <w:t>сложени</w:t>
      </w:r>
      <w:r w:rsidRPr="00F958A8">
        <w:rPr>
          <w:rFonts w:ascii="Times New Roman" w:hAnsi="Times New Roman"/>
          <w:color w:val="000000"/>
          <w:sz w:val="24"/>
          <w:szCs w:val="24"/>
        </w:rPr>
        <w:t xml:space="preserve"> и претставуваат пречка за нови инвестиции.</w:t>
      </w:r>
    </w:p>
    <w:p w:rsidR="00C82BEE" w:rsidRPr="00F958A8" w:rsidRDefault="00C82BEE" w:rsidP="008D6AE4">
      <w:pPr>
        <w:shd w:val="clear" w:color="auto" w:fill="FFFFF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Во јуни 2023 година, Владата донесе Патоказ за правична транзиција, како и механизам за координација на управување и следење. Транзицијата кон чиста енергија треба да вклучува мерки за ублажување на негативните социјални и економски влијанија на планираното постепено затворање на електраните со погон на јаглен во засегнатите региони.</w:t>
      </w:r>
    </w:p>
    <w:p w:rsidR="00C82BEE" w:rsidRPr="00F958A8" w:rsidRDefault="00C82BEE" w:rsidP="008D6AE4">
      <w:pPr>
        <w:shd w:val="clear" w:color="auto" w:fill="FFFFF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 xml:space="preserve">Законот за </w:t>
      </w:r>
      <w:r w:rsidRPr="00F958A8">
        <w:rPr>
          <w:rFonts w:ascii="Times New Roman" w:hAnsi="Times New Roman"/>
          <w:b/>
          <w:bCs/>
          <w:color w:val="000000"/>
          <w:sz w:val="24"/>
          <w:szCs w:val="24"/>
        </w:rPr>
        <w:t xml:space="preserve">енергетска ефикасност </w:t>
      </w:r>
      <w:r w:rsidRPr="00F958A8">
        <w:rPr>
          <w:rFonts w:ascii="Times New Roman" w:hAnsi="Times New Roman"/>
          <w:color w:val="000000"/>
          <w:sz w:val="24"/>
          <w:szCs w:val="24"/>
        </w:rPr>
        <w:t xml:space="preserve">е усогласен со Директивата за енергетска ефикасност и </w:t>
      </w:r>
      <w:r>
        <w:rPr>
          <w:rFonts w:ascii="Times New Roman" w:hAnsi="Times New Roman"/>
          <w:color w:val="000000"/>
          <w:sz w:val="24"/>
          <w:szCs w:val="24"/>
        </w:rPr>
        <w:t xml:space="preserve">со </w:t>
      </w:r>
      <w:r w:rsidRPr="00F958A8">
        <w:rPr>
          <w:rFonts w:ascii="Times New Roman" w:hAnsi="Times New Roman"/>
          <w:color w:val="000000"/>
          <w:sz w:val="24"/>
          <w:szCs w:val="24"/>
        </w:rPr>
        <w:t xml:space="preserve">Директивата за енергетски перформанси на згради. По последните измени на Директивата за енергетска ефикасност, во тек е ажурирање на Законот за енергетска ефикасност. Спроведувањето на тековното законодавство не е подобрено. Барањата за сертифицирање енергетска ефикасност на згради не се применуваат </w:t>
      </w:r>
      <w:r>
        <w:rPr>
          <w:rFonts w:ascii="Times New Roman" w:hAnsi="Times New Roman"/>
          <w:color w:val="000000"/>
          <w:sz w:val="24"/>
          <w:szCs w:val="24"/>
        </w:rPr>
        <w:t xml:space="preserve">во </w:t>
      </w:r>
      <w:r w:rsidRPr="00F958A8">
        <w:rPr>
          <w:rFonts w:ascii="Times New Roman" w:hAnsi="Times New Roman"/>
          <w:color w:val="000000"/>
          <w:sz w:val="24"/>
          <w:szCs w:val="24"/>
        </w:rPr>
        <w:t>согласно</w:t>
      </w:r>
      <w:r>
        <w:rPr>
          <w:rFonts w:ascii="Times New Roman" w:hAnsi="Times New Roman"/>
          <w:color w:val="000000"/>
          <w:sz w:val="24"/>
          <w:szCs w:val="24"/>
        </w:rPr>
        <w:t>ст со</w:t>
      </w:r>
      <w:r w:rsidRPr="00F958A8">
        <w:rPr>
          <w:rFonts w:ascii="Times New Roman" w:hAnsi="Times New Roman"/>
          <w:color w:val="000000"/>
          <w:sz w:val="24"/>
          <w:szCs w:val="24"/>
        </w:rPr>
        <w:t xml:space="preserve"> законодавството. Донесувањето законодавство за спроведување</w:t>
      </w:r>
      <w:r>
        <w:rPr>
          <w:rFonts w:ascii="Times New Roman" w:hAnsi="Times New Roman"/>
          <w:color w:val="000000"/>
          <w:sz w:val="24"/>
          <w:szCs w:val="24"/>
        </w:rPr>
        <w:t>,</w:t>
      </w:r>
      <w:r w:rsidRPr="00F958A8">
        <w:rPr>
          <w:rFonts w:ascii="Times New Roman" w:hAnsi="Times New Roman"/>
          <w:color w:val="000000"/>
          <w:sz w:val="24"/>
          <w:szCs w:val="24"/>
        </w:rPr>
        <w:t xml:space="preserve"> останува предизвик поради ограничените човечки и технички ресурси во рамките на секторот за енергетика на Министерството за економија и Агенцијата за енергетска ефикасност.</w:t>
      </w:r>
    </w:p>
    <w:p w:rsidR="00C82BEE" w:rsidRPr="00F958A8" w:rsidRDefault="00C82BEE" w:rsidP="008D6AE4">
      <w:pPr>
        <w:shd w:val="clear" w:color="auto" w:fill="FFFFF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 xml:space="preserve">Се воспоставува структурата на фондот за енергетска ефикасност. Општините се охрабруваат да преземат чекори за целосно почитување на </w:t>
      </w:r>
      <w:r>
        <w:rPr>
          <w:rFonts w:ascii="Times New Roman" w:hAnsi="Times New Roman"/>
          <w:color w:val="000000"/>
          <w:sz w:val="24"/>
          <w:szCs w:val="24"/>
        </w:rPr>
        <w:t>своите</w:t>
      </w:r>
      <w:r w:rsidRPr="00F958A8">
        <w:rPr>
          <w:rFonts w:ascii="Times New Roman" w:hAnsi="Times New Roman"/>
          <w:color w:val="000000"/>
          <w:sz w:val="24"/>
          <w:szCs w:val="24"/>
        </w:rPr>
        <w:t xml:space="preserve"> обврски за развивање и спроведување програми за енергетска ефикасност.</w:t>
      </w:r>
    </w:p>
    <w:p w:rsidR="00C82BEE" w:rsidRPr="00F958A8" w:rsidRDefault="00C82BEE" w:rsidP="008D6AE4">
      <w:pPr>
        <w:shd w:val="clear" w:color="auto" w:fill="FFFFF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 xml:space="preserve">Во однос на </w:t>
      </w:r>
      <w:r w:rsidRPr="00F958A8">
        <w:rPr>
          <w:rFonts w:ascii="Times New Roman" w:hAnsi="Times New Roman"/>
          <w:b/>
          <w:bCs/>
          <w:color w:val="000000"/>
          <w:sz w:val="24"/>
          <w:szCs w:val="24"/>
        </w:rPr>
        <w:t>нуклеарната енергија, нуклеарната безбедност и заштита од радијација</w:t>
      </w:r>
      <w:r w:rsidRPr="00F958A8">
        <w:rPr>
          <w:rFonts w:ascii="Times New Roman" w:hAnsi="Times New Roman"/>
          <w:color w:val="000000"/>
          <w:sz w:val="24"/>
          <w:szCs w:val="24"/>
        </w:rPr>
        <w:t>, Северна Македонија ги ратификуваше релевантните меѓународни конвенции и е полноправна членка на Системот на Европската заедница за рана размена на информации во случај на радиолошки вонреден настан (ECURIE). Сè уште нема воспоставен долгорочен и безбеден објект за складирање радиоактивен отпад. Треба да се зајакнат капацитетите на Дирекцијата за радијациона сигурност.</w:t>
      </w:r>
    </w:p>
    <w:p w:rsidR="00C82BEE" w:rsidRPr="00F958A8" w:rsidRDefault="00C82BEE" w:rsidP="008D6AE4">
      <w:pPr>
        <w:shd w:val="clear" w:color="auto" w:fill="FFFFF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 xml:space="preserve">Во однос на </w:t>
      </w:r>
      <w:r w:rsidRPr="00F958A8">
        <w:rPr>
          <w:rFonts w:ascii="Times New Roman" w:hAnsi="Times New Roman"/>
          <w:b/>
          <w:bCs/>
          <w:color w:val="000000"/>
          <w:sz w:val="24"/>
          <w:szCs w:val="24"/>
        </w:rPr>
        <w:t>нуклеарната заштита</w:t>
      </w:r>
      <w:r w:rsidRPr="00F958A8">
        <w:rPr>
          <w:rFonts w:ascii="Times New Roman" w:hAnsi="Times New Roman"/>
          <w:color w:val="000000"/>
          <w:sz w:val="24"/>
          <w:szCs w:val="24"/>
        </w:rPr>
        <w:t xml:space="preserve">, по пристапувањето, постојните системи за евиденција и </w:t>
      </w:r>
      <w:r>
        <w:rPr>
          <w:rFonts w:ascii="Times New Roman" w:hAnsi="Times New Roman"/>
          <w:color w:val="000000"/>
          <w:sz w:val="24"/>
          <w:szCs w:val="24"/>
        </w:rPr>
        <w:t xml:space="preserve">за </w:t>
      </w:r>
      <w:r w:rsidRPr="00F958A8">
        <w:rPr>
          <w:rFonts w:ascii="Times New Roman" w:hAnsi="Times New Roman"/>
          <w:color w:val="000000"/>
          <w:sz w:val="24"/>
          <w:szCs w:val="24"/>
        </w:rPr>
        <w:t>контрола на нуклеарните материјали во Северна Македонија ќе треба да се приспособат во согласност со заштитните одредби (поглавје 7) од Договорот за Евроатом.</w:t>
      </w:r>
    </w:p>
    <w:p w:rsidR="00C82BEE" w:rsidRPr="00F958A8" w:rsidRDefault="00C82BEE" w:rsidP="008D6AE4">
      <w:pPr>
        <w:pStyle w:val="Heading2"/>
      </w:pPr>
      <w:bookmarkStart w:id="94" w:name="bookmark56"/>
      <w:bookmarkStart w:id="95" w:name="_Toc150864282"/>
      <w:r w:rsidRPr="00F958A8">
        <w:t>П</w:t>
      </w:r>
      <w:bookmarkEnd w:id="94"/>
      <w:r w:rsidRPr="00F958A8">
        <w:t xml:space="preserve">оглавје 21: </w:t>
      </w:r>
      <w:r>
        <w:t>Трансевропски</w:t>
      </w:r>
      <w:r w:rsidRPr="00F958A8">
        <w:t xml:space="preserve"> мрежи</w:t>
      </w:r>
      <w:bookmarkEnd w:id="95"/>
    </w:p>
    <w:p w:rsidR="00C82BEE" w:rsidRPr="00F958A8" w:rsidRDefault="00C82BEE" w:rsidP="008D6AE4">
      <w:pPr>
        <w:shd w:val="clear" w:color="auto" w:fill="FFFFFF"/>
        <w:spacing w:before="120" w:after="120" w:line="240" w:lineRule="auto"/>
        <w:jc w:val="both"/>
        <w:rPr>
          <w:rFonts w:ascii="Times New Roman" w:hAnsi="Times New Roman"/>
          <w:sz w:val="24"/>
          <w:szCs w:val="24"/>
        </w:rPr>
      </w:pPr>
      <w:r w:rsidRPr="00F958A8">
        <w:rPr>
          <w:rFonts w:ascii="Times New Roman" w:hAnsi="Times New Roman"/>
          <w:i/>
          <w:iCs/>
          <w:color w:val="000000"/>
          <w:sz w:val="24"/>
          <w:szCs w:val="24"/>
        </w:rPr>
        <w:t xml:space="preserve">ЕУ ги унапредува </w:t>
      </w:r>
      <w:r>
        <w:rPr>
          <w:rFonts w:ascii="Times New Roman" w:hAnsi="Times New Roman"/>
          <w:i/>
          <w:iCs/>
          <w:color w:val="000000"/>
          <w:sz w:val="24"/>
          <w:szCs w:val="24"/>
        </w:rPr>
        <w:t>трансевропските</w:t>
      </w:r>
      <w:r w:rsidRPr="00F958A8">
        <w:rPr>
          <w:rFonts w:ascii="Times New Roman" w:hAnsi="Times New Roman"/>
          <w:i/>
          <w:iCs/>
          <w:color w:val="000000"/>
          <w:sz w:val="24"/>
          <w:szCs w:val="24"/>
        </w:rPr>
        <w:t xml:space="preserve"> мрежи (ТЕН) во областите на транспорт, телекомуникации и енергетика за зајакнување на внатрешниот пазар и придонес во растот и </w:t>
      </w:r>
      <w:r>
        <w:rPr>
          <w:rFonts w:ascii="Times New Roman" w:hAnsi="Times New Roman"/>
          <w:i/>
          <w:iCs/>
          <w:color w:val="000000"/>
          <w:sz w:val="24"/>
          <w:szCs w:val="24"/>
        </w:rPr>
        <w:t xml:space="preserve">во </w:t>
      </w:r>
      <w:r w:rsidRPr="00F958A8">
        <w:rPr>
          <w:rFonts w:ascii="Times New Roman" w:hAnsi="Times New Roman"/>
          <w:i/>
          <w:iCs/>
          <w:color w:val="000000"/>
          <w:sz w:val="24"/>
          <w:szCs w:val="24"/>
        </w:rPr>
        <w:t>вработувањето.</w:t>
      </w:r>
    </w:p>
    <w:p w:rsidR="00C82BEE" w:rsidRPr="00F958A8"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 xml:space="preserve">Северна Македонија има </w:t>
      </w:r>
      <w:r w:rsidRPr="00F958A8">
        <w:rPr>
          <w:rFonts w:ascii="Times New Roman" w:hAnsi="Times New Roman"/>
          <w:b/>
          <w:bCs/>
          <w:color w:val="000000"/>
          <w:sz w:val="24"/>
          <w:szCs w:val="24"/>
        </w:rPr>
        <w:t xml:space="preserve">добро ниво на подготвеност </w:t>
      </w:r>
      <w:r w:rsidRPr="00F958A8">
        <w:rPr>
          <w:rFonts w:ascii="Times New Roman" w:hAnsi="Times New Roman"/>
          <w:color w:val="000000"/>
          <w:sz w:val="24"/>
          <w:szCs w:val="24"/>
        </w:rPr>
        <w:t xml:space="preserve">во областа на трансевропските мрежи. </w:t>
      </w:r>
      <w:r w:rsidRPr="00F958A8">
        <w:rPr>
          <w:rFonts w:ascii="Times New Roman" w:hAnsi="Times New Roman"/>
          <w:b/>
          <w:bCs/>
          <w:color w:val="000000"/>
          <w:sz w:val="24"/>
          <w:szCs w:val="24"/>
        </w:rPr>
        <w:t xml:space="preserve">Ограничен напредок </w:t>
      </w:r>
      <w:r w:rsidRPr="00F958A8">
        <w:rPr>
          <w:rFonts w:ascii="Times New Roman" w:hAnsi="Times New Roman"/>
          <w:color w:val="000000"/>
          <w:sz w:val="24"/>
          <w:szCs w:val="24"/>
        </w:rPr>
        <w:t>е постигнат во текот на извештајниот период. Сепак, потребниот законодавен процес не е довршен, особено акциските планови за спроведување на Договорот за транспортна заедница.</w:t>
      </w:r>
    </w:p>
    <w:p w:rsidR="00C82BEE" w:rsidRPr="00F958A8"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Бидејќи препораките од минатата година не беа целосно спроведени, тие остануваат во важност. Во наредната година, земјата треба особено:</w:t>
      </w:r>
    </w:p>
    <w:p w:rsidR="00C82BEE" w:rsidRPr="00F958A8"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 xml:space="preserve">→ понатамошно да го зајакне оперативниот и техничкиот капацитет на сите управни институции и засегнати институции </w:t>
      </w:r>
      <w:r>
        <w:rPr>
          <w:rFonts w:ascii="Times New Roman" w:hAnsi="Times New Roman"/>
          <w:color w:val="000000"/>
          <w:sz w:val="24"/>
          <w:szCs w:val="24"/>
        </w:rPr>
        <w:t>што</w:t>
      </w:r>
      <w:r w:rsidRPr="00F958A8">
        <w:rPr>
          <w:rFonts w:ascii="Times New Roman" w:hAnsi="Times New Roman"/>
          <w:color w:val="000000"/>
          <w:sz w:val="24"/>
          <w:szCs w:val="24"/>
        </w:rPr>
        <w:t xml:space="preserve"> се вклучени во развојот на Трансевропската транспортна мрежа (ТЕН</w:t>
      </w:r>
      <w:r w:rsidRPr="002A12AA">
        <w:rPr>
          <w:rFonts w:ascii="Times New Roman" w:hAnsi="Times New Roman"/>
          <w:color w:val="000000"/>
          <w:sz w:val="24"/>
          <w:szCs w:val="24"/>
          <w:lang w:val="ru-RU"/>
        </w:rPr>
        <w:t>-</w:t>
      </w:r>
      <w:r w:rsidRPr="00F958A8">
        <w:rPr>
          <w:rFonts w:ascii="Times New Roman" w:hAnsi="Times New Roman"/>
          <w:color w:val="000000"/>
          <w:sz w:val="24"/>
          <w:szCs w:val="24"/>
        </w:rPr>
        <w:t>Т) и Трансевропската енергетска мрежа (ТЕН</w:t>
      </w:r>
      <w:r w:rsidRPr="002A12AA">
        <w:rPr>
          <w:rFonts w:ascii="Times New Roman" w:hAnsi="Times New Roman"/>
          <w:color w:val="000000"/>
          <w:sz w:val="24"/>
          <w:szCs w:val="24"/>
          <w:lang w:val="ru-RU"/>
        </w:rPr>
        <w:t>-</w:t>
      </w:r>
      <w:r w:rsidRPr="00F958A8">
        <w:rPr>
          <w:rFonts w:ascii="Times New Roman" w:hAnsi="Times New Roman"/>
          <w:color w:val="000000"/>
          <w:sz w:val="24"/>
          <w:szCs w:val="24"/>
        </w:rPr>
        <w:t xml:space="preserve">Е) и да ја усогласи правната рамка со Регулативата за </w:t>
      </w:r>
      <w:r>
        <w:rPr>
          <w:rFonts w:ascii="Times New Roman" w:hAnsi="Times New Roman"/>
          <w:color w:val="000000"/>
          <w:sz w:val="24"/>
          <w:szCs w:val="24"/>
        </w:rPr>
        <w:t>трансевропска</w:t>
      </w:r>
      <w:r w:rsidRPr="00F958A8">
        <w:rPr>
          <w:rFonts w:ascii="Times New Roman" w:hAnsi="Times New Roman"/>
          <w:color w:val="000000"/>
          <w:sz w:val="24"/>
          <w:szCs w:val="24"/>
        </w:rPr>
        <w:t xml:space="preserve"> мрежа;</w:t>
      </w:r>
    </w:p>
    <w:p w:rsidR="00C82BEE" w:rsidRPr="00F958A8"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 да мобилизира доволно ресурси за спроведување на Договорот за транспортна заедница и да ги постигне утврдените цели и крајни рокови утврдени во акциските планови;</w:t>
      </w:r>
    </w:p>
    <w:p w:rsidR="00C82BEE" w:rsidRPr="00F958A8"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 да ги спроведе завршните одредби од Протоколот за гранични премини за железнички сообраќај склучен со Косово и итно да го забрза напредокот кон завршувањето на третата фаза на железничкиот Коридор VIII (Крива Паланка – граница со Бугарија).</w:t>
      </w:r>
    </w:p>
    <w:p w:rsidR="00C82BEE" w:rsidRPr="00F958A8" w:rsidRDefault="00C82BEE" w:rsidP="008D6AE4">
      <w:pPr>
        <w:shd w:val="clear" w:color="auto" w:fill="FFFFF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 xml:space="preserve">Во однос на </w:t>
      </w:r>
      <w:r w:rsidRPr="00F958A8">
        <w:rPr>
          <w:rFonts w:ascii="Times New Roman" w:hAnsi="Times New Roman"/>
          <w:b/>
          <w:bCs/>
          <w:color w:val="000000"/>
          <w:sz w:val="24"/>
          <w:szCs w:val="24"/>
        </w:rPr>
        <w:t>транспортните мрежи</w:t>
      </w:r>
      <w:r w:rsidRPr="00F958A8">
        <w:rPr>
          <w:rFonts w:ascii="Times New Roman" w:hAnsi="Times New Roman"/>
          <w:color w:val="000000"/>
          <w:sz w:val="24"/>
          <w:szCs w:val="24"/>
        </w:rPr>
        <w:t>, потребни се понатамошни напори за да се постигнат целите и крајните рокови.</w:t>
      </w:r>
    </w:p>
    <w:p w:rsidR="00C82BEE" w:rsidRPr="00F958A8" w:rsidRDefault="00C82BEE" w:rsidP="008D6AE4">
      <w:pPr>
        <w:shd w:val="clear" w:color="auto" w:fill="FFFFF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 xml:space="preserve">Инвестициите во секторот треба да се темелат на студиите за изводливост што се спроведуваат во согласност со најдобрите практики на ЕУ и треба да се применуваат транспарентни постапки на набавка. Политиката за задржување на </w:t>
      </w:r>
      <w:r>
        <w:rPr>
          <w:rFonts w:ascii="Times New Roman" w:hAnsi="Times New Roman"/>
          <w:color w:val="000000"/>
          <w:sz w:val="24"/>
          <w:szCs w:val="24"/>
        </w:rPr>
        <w:t>кадарот</w:t>
      </w:r>
      <w:r w:rsidRPr="00F958A8">
        <w:rPr>
          <w:rFonts w:ascii="Times New Roman" w:hAnsi="Times New Roman"/>
          <w:color w:val="000000"/>
          <w:sz w:val="24"/>
          <w:szCs w:val="24"/>
        </w:rPr>
        <w:t xml:space="preserve"> од страна на тела вклучени во големи инвестициски проекти останува ограничена</w:t>
      </w:r>
      <w:r>
        <w:rPr>
          <w:rFonts w:ascii="Times New Roman" w:hAnsi="Times New Roman"/>
          <w:color w:val="000000"/>
          <w:sz w:val="24"/>
          <w:szCs w:val="24"/>
        </w:rPr>
        <w:t>,</w:t>
      </w:r>
      <w:r w:rsidRPr="00F958A8">
        <w:rPr>
          <w:rFonts w:ascii="Times New Roman" w:hAnsi="Times New Roman"/>
          <w:color w:val="000000"/>
          <w:sz w:val="24"/>
          <w:szCs w:val="24"/>
        </w:rPr>
        <w:t xml:space="preserve"> што значително го попречува завршувањето на </w:t>
      </w:r>
      <w:r w:rsidR="009642BF" w:rsidRPr="00EF10B7">
        <w:rPr>
          <w:rFonts w:ascii="Times New Roman" w:hAnsi="Times New Roman"/>
          <w:color w:val="000000"/>
          <w:sz w:val="24"/>
          <w:szCs w:val="24"/>
        </w:rPr>
        <w:t xml:space="preserve">стратешките </w:t>
      </w:r>
      <w:r w:rsidRPr="00EF10B7">
        <w:rPr>
          <w:rFonts w:ascii="Times New Roman" w:hAnsi="Times New Roman"/>
          <w:color w:val="000000"/>
          <w:sz w:val="24"/>
          <w:szCs w:val="24"/>
        </w:rPr>
        <w:t>проекти.</w:t>
      </w:r>
    </w:p>
    <w:p w:rsidR="00C82BEE" w:rsidRPr="00F958A8" w:rsidRDefault="00C82BEE" w:rsidP="008D6AE4">
      <w:pPr>
        <w:shd w:val="clear" w:color="auto" w:fill="FFFFF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 xml:space="preserve">Во мај 2023 година, Северна Македонија потпиша меморандум за разбирање со Европската комисија за ажурирање на </w:t>
      </w:r>
      <w:r>
        <w:rPr>
          <w:rFonts w:ascii="Times New Roman" w:hAnsi="Times New Roman"/>
          <w:color w:val="000000"/>
          <w:sz w:val="24"/>
          <w:szCs w:val="24"/>
        </w:rPr>
        <w:t xml:space="preserve">мапите на </w:t>
      </w:r>
      <w:r w:rsidRPr="00F958A8">
        <w:rPr>
          <w:rFonts w:ascii="Times New Roman" w:hAnsi="Times New Roman"/>
          <w:color w:val="000000"/>
          <w:sz w:val="24"/>
          <w:szCs w:val="24"/>
        </w:rPr>
        <w:t>ТЕН</w:t>
      </w:r>
      <w:r w:rsidRPr="002A12AA">
        <w:rPr>
          <w:rFonts w:ascii="Times New Roman" w:hAnsi="Times New Roman"/>
          <w:color w:val="000000"/>
          <w:sz w:val="24"/>
          <w:szCs w:val="24"/>
          <w:lang w:val="ru-RU"/>
        </w:rPr>
        <w:t>-</w:t>
      </w:r>
      <w:r w:rsidRPr="00F958A8">
        <w:rPr>
          <w:rFonts w:ascii="Times New Roman" w:hAnsi="Times New Roman"/>
          <w:color w:val="000000"/>
          <w:sz w:val="24"/>
          <w:szCs w:val="24"/>
        </w:rPr>
        <w:t>Т. Изменетите мапи за новиот Европски коридор за Западен Балкан ќе бидат дел од ревидираната Регулатива за ТЕН</w:t>
      </w:r>
      <w:r w:rsidRPr="002A12AA">
        <w:rPr>
          <w:rFonts w:ascii="Times New Roman" w:hAnsi="Times New Roman"/>
          <w:color w:val="000000"/>
          <w:sz w:val="24"/>
          <w:szCs w:val="24"/>
          <w:lang w:val="ru-RU"/>
        </w:rPr>
        <w:t>-</w:t>
      </w:r>
      <w:r w:rsidRPr="00F958A8">
        <w:rPr>
          <w:rFonts w:ascii="Times New Roman" w:hAnsi="Times New Roman"/>
          <w:color w:val="000000"/>
          <w:sz w:val="24"/>
          <w:szCs w:val="24"/>
        </w:rPr>
        <w:t xml:space="preserve">Т, за која во моментов дискутираат </w:t>
      </w:r>
      <w:bookmarkStart w:id="96" w:name="_Hlk150684724"/>
      <w:r w:rsidR="0015672B">
        <w:rPr>
          <w:rFonts w:ascii="Times New Roman" w:hAnsi="Times New Roman"/>
          <w:color w:val="000000"/>
          <w:sz w:val="24"/>
          <w:szCs w:val="24"/>
        </w:rPr>
        <w:t>к</w:t>
      </w:r>
      <w:r>
        <w:rPr>
          <w:rFonts w:ascii="Times New Roman" w:hAnsi="Times New Roman"/>
          <w:color w:val="000000"/>
          <w:sz w:val="24"/>
          <w:szCs w:val="24"/>
        </w:rPr>
        <w:t>о</w:t>
      </w:r>
      <w:r w:rsidRPr="00F958A8">
        <w:rPr>
          <w:rFonts w:ascii="Times New Roman" w:hAnsi="Times New Roman"/>
          <w:color w:val="000000"/>
          <w:sz w:val="24"/>
          <w:szCs w:val="24"/>
        </w:rPr>
        <w:t>законодавците</w:t>
      </w:r>
      <w:bookmarkEnd w:id="96"/>
      <w:r w:rsidRPr="00F958A8">
        <w:rPr>
          <w:rFonts w:ascii="Times New Roman" w:hAnsi="Times New Roman"/>
          <w:color w:val="000000"/>
          <w:sz w:val="24"/>
          <w:szCs w:val="24"/>
        </w:rPr>
        <w:t xml:space="preserve">. Патниот коридор X е функционален, но работите </w:t>
      </w:r>
      <w:r>
        <w:rPr>
          <w:rFonts w:ascii="Times New Roman" w:hAnsi="Times New Roman"/>
          <w:color w:val="000000"/>
          <w:sz w:val="24"/>
          <w:szCs w:val="24"/>
        </w:rPr>
        <w:t xml:space="preserve">во </w:t>
      </w:r>
      <w:r w:rsidRPr="00F958A8">
        <w:rPr>
          <w:rFonts w:ascii="Times New Roman" w:hAnsi="Times New Roman"/>
          <w:color w:val="000000"/>
          <w:sz w:val="24"/>
          <w:szCs w:val="24"/>
        </w:rPr>
        <w:t>долж</w:t>
      </w:r>
      <w:r>
        <w:rPr>
          <w:rFonts w:ascii="Times New Roman" w:hAnsi="Times New Roman"/>
          <w:color w:val="000000"/>
          <w:sz w:val="24"/>
          <w:szCs w:val="24"/>
        </w:rPr>
        <w:t>ина на</w:t>
      </w:r>
      <w:r w:rsidRPr="00F958A8">
        <w:rPr>
          <w:rFonts w:ascii="Times New Roman" w:hAnsi="Times New Roman"/>
          <w:color w:val="000000"/>
          <w:sz w:val="24"/>
          <w:szCs w:val="24"/>
        </w:rPr>
        <w:t xml:space="preserve"> Коридорот X-d </w:t>
      </w:r>
      <w:r>
        <w:rPr>
          <w:rFonts w:ascii="Times New Roman" w:hAnsi="Times New Roman"/>
          <w:color w:val="000000"/>
          <w:sz w:val="24"/>
          <w:szCs w:val="24"/>
        </w:rPr>
        <w:t>создадоа</w:t>
      </w:r>
      <w:r w:rsidRPr="00F958A8">
        <w:rPr>
          <w:rFonts w:ascii="Times New Roman" w:hAnsi="Times New Roman"/>
          <w:color w:val="000000"/>
          <w:sz w:val="24"/>
          <w:szCs w:val="24"/>
        </w:rPr>
        <w:t xml:space="preserve"> значителни задоцнувања. Потпишани се договори за изградба на четири автопатски делници </w:t>
      </w:r>
      <w:r>
        <w:rPr>
          <w:rFonts w:ascii="Times New Roman" w:hAnsi="Times New Roman"/>
          <w:color w:val="000000"/>
          <w:sz w:val="24"/>
          <w:szCs w:val="24"/>
        </w:rPr>
        <w:t xml:space="preserve">во </w:t>
      </w:r>
      <w:r w:rsidRPr="00F958A8">
        <w:rPr>
          <w:rFonts w:ascii="Times New Roman" w:hAnsi="Times New Roman"/>
          <w:color w:val="000000"/>
          <w:sz w:val="24"/>
          <w:szCs w:val="24"/>
        </w:rPr>
        <w:t>долж</w:t>
      </w:r>
      <w:r>
        <w:rPr>
          <w:rFonts w:ascii="Times New Roman" w:hAnsi="Times New Roman"/>
          <w:color w:val="000000"/>
          <w:sz w:val="24"/>
          <w:szCs w:val="24"/>
        </w:rPr>
        <w:t>ина на</w:t>
      </w:r>
      <w:r w:rsidRPr="00F958A8">
        <w:rPr>
          <w:rFonts w:ascii="Times New Roman" w:hAnsi="Times New Roman"/>
          <w:color w:val="000000"/>
          <w:sz w:val="24"/>
          <w:szCs w:val="24"/>
        </w:rPr>
        <w:t xml:space="preserve"> </w:t>
      </w:r>
      <w:r>
        <w:rPr>
          <w:rFonts w:ascii="Times New Roman" w:hAnsi="Times New Roman"/>
          <w:color w:val="000000"/>
          <w:sz w:val="24"/>
          <w:szCs w:val="24"/>
        </w:rPr>
        <w:t>к</w:t>
      </w:r>
      <w:r w:rsidRPr="00F958A8">
        <w:rPr>
          <w:rFonts w:ascii="Times New Roman" w:hAnsi="Times New Roman"/>
          <w:color w:val="000000"/>
          <w:sz w:val="24"/>
          <w:szCs w:val="24"/>
        </w:rPr>
        <w:t xml:space="preserve">оридорите VIII и X-d. Во ноември 2022 година почна изградбата на железничкиот Коридор VIII кон Бугарија со два нови изведувачи за првата и </w:t>
      </w:r>
      <w:r>
        <w:rPr>
          <w:rFonts w:ascii="Times New Roman" w:hAnsi="Times New Roman"/>
          <w:color w:val="000000"/>
          <w:sz w:val="24"/>
          <w:szCs w:val="24"/>
        </w:rPr>
        <w:t xml:space="preserve">за </w:t>
      </w:r>
      <w:r w:rsidRPr="00F958A8">
        <w:rPr>
          <w:rFonts w:ascii="Times New Roman" w:hAnsi="Times New Roman"/>
          <w:color w:val="000000"/>
          <w:sz w:val="24"/>
          <w:szCs w:val="24"/>
        </w:rPr>
        <w:t xml:space="preserve">втората фаза, но подготовката на тендерската документација за третата фаза (Крива Паланка – граница со Бугарија) </w:t>
      </w:r>
      <w:r>
        <w:rPr>
          <w:rFonts w:ascii="Times New Roman" w:hAnsi="Times New Roman"/>
          <w:color w:val="000000"/>
          <w:sz w:val="24"/>
          <w:szCs w:val="24"/>
        </w:rPr>
        <w:t>предизвика</w:t>
      </w:r>
      <w:r w:rsidRPr="00F958A8">
        <w:rPr>
          <w:rFonts w:ascii="Times New Roman" w:hAnsi="Times New Roman"/>
          <w:color w:val="000000"/>
          <w:sz w:val="24"/>
          <w:szCs w:val="24"/>
        </w:rPr>
        <w:t xml:space="preserve"> значително задоцнување. Потребни се дополнителни и итни напори за да се забрза напредокот на железничкиот Коридор VIII и други приоритетни делници за основната мрежа како во железничкиот, така и во патниот сообраќај. Во мај 2023 година беа донесени измени и дополнувања за забрзување на изградбата на четирите автопатски делници </w:t>
      </w:r>
      <w:r>
        <w:rPr>
          <w:rFonts w:ascii="Times New Roman" w:hAnsi="Times New Roman"/>
          <w:color w:val="000000"/>
          <w:sz w:val="24"/>
          <w:szCs w:val="24"/>
        </w:rPr>
        <w:t xml:space="preserve">во </w:t>
      </w:r>
      <w:r w:rsidRPr="00F958A8">
        <w:rPr>
          <w:rFonts w:ascii="Times New Roman" w:hAnsi="Times New Roman"/>
          <w:color w:val="000000"/>
          <w:sz w:val="24"/>
          <w:szCs w:val="24"/>
        </w:rPr>
        <w:t>долж</w:t>
      </w:r>
      <w:r>
        <w:rPr>
          <w:rFonts w:ascii="Times New Roman" w:hAnsi="Times New Roman"/>
          <w:color w:val="000000"/>
          <w:sz w:val="24"/>
          <w:szCs w:val="24"/>
        </w:rPr>
        <w:t>ина на</w:t>
      </w:r>
      <w:r w:rsidRPr="00F958A8">
        <w:rPr>
          <w:rFonts w:ascii="Times New Roman" w:hAnsi="Times New Roman"/>
          <w:color w:val="000000"/>
          <w:sz w:val="24"/>
          <w:szCs w:val="24"/>
        </w:rPr>
        <w:t xml:space="preserve"> </w:t>
      </w:r>
      <w:r>
        <w:rPr>
          <w:rFonts w:ascii="Times New Roman" w:hAnsi="Times New Roman"/>
          <w:color w:val="000000"/>
          <w:sz w:val="24"/>
          <w:szCs w:val="24"/>
        </w:rPr>
        <w:t>к</w:t>
      </w:r>
      <w:r w:rsidRPr="00F958A8">
        <w:rPr>
          <w:rFonts w:ascii="Times New Roman" w:hAnsi="Times New Roman"/>
          <w:color w:val="000000"/>
          <w:sz w:val="24"/>
          <w:szCs w:val="24"/>
        </w:rPr>
        <w:t xml:space="preserve">оридорите VIII и X-d со употреба на забрзаната постапка со „европско знаменце“, иако ова не беше соодветна употреба на постапката. Од Северна Македонија се очекува да ги почитува обврските што произлегуваат од Спогодбата за стабилизација и асоцијација, како и да продолжи да се усогласува со </w:t>
      </w:r>
      <w:r w:rsidRPr="00F958A8">
        <w:rPr>
          <w:rFonts w:ascii="Times New Roman" w:hAnsi="Times New Roman"/>
          <w:i/>
          <w:iCs/>
          <w:color w:val="000000"/>
          <w:sz w:val="24"/>
          <w:szCs w:val="24"/>
        </w:rPr>
        <w:t xml:space="preserve">правото на ЕУ </w:t>
      </w:r>
      <w:r w:rsidRPr="00F958A8">
        <w:rPr>
          <w:rFonts w:ascii="Times New Roman" w:hAnsi="Times New Roman"/>
          <w:color w:val="000000"/>
          <w:sz w:val="24"/>
          <w:szCs w:val="24"/>
        </w:rPr>
        <w:t>во текот на процесот на пристапните преговори.</w:t>
      </w:r>
    </w:p>
    <w:p w:rsidR="00C82BEE" w:rsidRPr="00F958A8" w:rsidRDefault="00C82BEE" w:rsidP="008D6AE4">
      <w:pPr>
        <w:shd w:val="clear" w:color="auto" w:fill="FFFFF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До денес, не е постигнат договор за воспоставувањето на железничкиот граничен премин Кременица</w:t>
      </w:r>
      <w:r w:rsidRPr="002A12AA">
        <w:rPr>
          <w:rFonts w:ascii="Times New Roman" w:hAnsi="Times New Roman"/>
          <w:color w:val="000000"/>
          <w:sz w:val="24"/>
          <w:szCs w:val="24"/>
          <w:lang w:val="ru-RU"/>
        </w:rPr>
        <w:t xml:space="preserve"> </w:t>
      </w:r>
      <w:r>
        <w:rPr>
          <w:rFonts w:ascii="Times New Roman" w:hAnsi="Times New Roman"/>
          <w:color w:val="000000"/>
          <w:sz w:val="24"/>
          <w:szCs w:val="24"/>
        </w:rPr>
        <w:t>–</w:t>
      </w:r>
      <w:r w:rsidRPr="002A12AA">
        <w:rPr>
          <w:rFonts w:ascii="Times New Roman" w:hAnsi="Times New Roman"/>
          <w:color w:val="000000"/>
          <w:sz w:val="24"/>
          <w:szCs w:val="24"/>
          <w:lang w:val="ru-RU"/>
        </w:rPr>
        <w:t xml:space="preserve"> </w:t>
      </w:r>
      <w:r w:rsidRPr="00F958A8">
        <w:rPr>
          <w:rFonts w:ascii="Times New Roman" w:hAnsi="Times New Roman"/>
          <w:color w:val="000000"/>
          <w:sz w:val="24"/>
          <w:szCs w:val="24"/>
        </w:rPr>
        <w:t xml:space="preserve">Неос Кафкасос со Грција. Од суштинско значење е да се финализира заедничкиот договор за границата и да се осигури дека железничката линија ќе стане целосно оперативна. </w:t>
      </w:r>
      <w:r>
        <w:rPr>
          <w:rFonts w:ascii="Times New Roman" w:hAnsi="Times New Roman"/>
          <w:color w:val="000000"/>
          <w:sz w:val="24"/>
          <w:szCs w:val="24"/>
        </w:rPr>
        <w:t>С</w:t>
      </w:r>
      <w:r w:rsidRPr="002A12AA">
        <w:rPr>
          <w:rFonts w:ascii="Times New Roman" w:hAnsi="Times New Roman"/>
          <w:color w:val="000000"/>
          <w:sz w:val="24"/>
          <w:szCs w:val="24"/>
          <w:lang w:val="ru-RU"/>
        </w:rPr>
        <w:t>è</w:t>
      </w:r>
      <w:r>
        <w:rPr>
          <w:rFonts w:ascii="Times New Roman" w:hAnsi="Times New Roman"/>
          <w:color w:val="000000"/>
          <w:sz w:val="24"/>
          <w:szCs w:val="24"/>
        </w:rPr>
        <w:t xml:space="preserve"> </w:t>
      </w:r>
      <w:r w:rsidRPr="00F958A8">
        <w:rPr>
          <w:rFonts w:ascii="Times New Roman" w:hAnsi="Times New Roman"/>
          <w:color w:val="000000"/>
          <w:sz w:val="24"/>
          <w:szCs w:val="24"/>
        </w:rPr>
        <w:t>уште не се целосно обезбедени финансиски средства за изградба на соодветна инфраструктура во близина на границата со Србија, на железничката станица на граничниот премин Табановце. Не е постигнат напредок во донесувањето на петгодишните планови за одржување на патиштата и</w:t>
      </w:r>
      <w:r>
        <w:rPr>
          <w:rFonts w:ascii="Times New Roman" w:hAnsi="Times New Roman"/>
          <w:color w:val="000000"/>
          <w:sz w:val="24"/>
          <w:szCs w:val="24"/>
        </w:rPr>
        <w:t xml:space="preserve"> на</w:t>
      </w:r>
      <w:r w:rsidRPr="00F958A8">
        <w:rPr>
          <w:rFonts w:ascii="Times New Roman" w:hAnsi="Times New Roman"/>
          <w:color w:val="000000"/>
          <w:sz w:val="24"/>
          <w:szCs w:val="24"/>
        </w:rPr>
        <w:t xml:space="preserve"> железниците.</w:t>
      </w:r>
    </w:p>
    <w:p w:rsidR="00C82BEE" w:rsidRPr="00F958A8" w:rsidRDefault="00C82BEE" w:rsidP="008D6AE4">
      <w:pPr>
        <w:shd w:val="clear" w:color="auto" w:fill="FFFFF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 xml:space="preserve">Во однос на </w:t>
      </w:r>
      <w:r w:rsidRPr="00F958A8">
        <w:rPr>
          <w:rFonts w:ascii="Times New Roman" w:hAnsi="Times New Roman"/>
          <w:b/>
          <w:bCs/>
          <w:color w:val="000000"/>
          <w:sz w:val="24"/>
          <w:szCs w:val="24"/>
        </w:rPr>
        <w:t>енергетските мрежи</w:t>
      </w:r>
      <w:r w:rsidRPr="00F958A8">
        <w:rPr>
          <w:rFonts w:ascii="Times New Roman" w:hAnsi="Times New Roman"/>
          <w:color w:val="000000"/>
          <w:sz w:val="24"/>
          <w:szCs w:val="24"/>
        </w:rPr>
        <w:t>, сѐ уште е во тек изградбата на нова 400kV интерконекција за пренос на електрична енергија Битола</w:t>
      </w:r>
      <w:r>
        <w:rPr>
          <w:rFonts w:ascii="Times New Roman" w:hAnsi="Times New Roman"/>
          <w:color w:val="000000"/>
          <w:sz w:val="24"/>
          <w:szCs w:val="24"/>
        </w:rPr>
        <w:t xml:space="preserve"> – </w:t>
      </w:r>
      <w:r w:rsidRPr="00F958A8">
        <w:rPr>
          <w:rFonts w:ascii="Times New Roman" w:hAnsi="Times New Roman"/>
          <w:color w:val="000000"/>
          <w:sz w:val="24"/>
          <w:szCs w:val="24"/>
        </w:rPr>
        <w:t xml:space="preserve">Елбасан (Албанија). Во фаза на спроведување е техничка помош за зајакнување на преносната мрежа во Југоисточниот </w:t>
      </w:r>
      <w:r>
        <w:rPr>
          <w:rFonts w:ascii="Times New Roman" w:hAnsi="Times New Roman"/>
          <w:color w:val="000000"/>
          <w:sz w:val="24"/>
          <w:szCs w:val="24"/>
        </w:rPr>
        <w:t>Р</w:t>
      </w:r>
      <w:r w:rsidRPr="00F958A8">
        <w:rPr>
          <w:rFonts w:ascii="Times New Roman" w:hAnsi="Times New Roman"/>
          <w:color w:val="000000"/>
          <w:sz w:val="24"/>
          <w:szCs w:val="24"/>
        </w:rPr>
        <w:t>егион на Северна Македонија. Во тек се и работите за изградба на гасоводот за пренос на гас помеѓу Неготино и Битола, како и Скопје, Тетово и Гостивар. Развојот на интерконектор за природен гас помеѓу Северна Македонија и Грција, кој е водечки проект во Економскиот и инвестициски план (ЕИП) за Западен Балкан, претставува приоритет насочен кон осигурување на снабдувањето гас во Северна Македонија и добро напредува.</w:t>
      </w:r>
    </w:p>
    <w:p w:rsidR="00C82BEE" w:rsidRPr="00F958A8" w:rsidRDefault="00C82BEE" w:rsidP="008D6AE4">
      <w:pPr>
        <w:pStyle w:val="Heading2"/>
      </w:pPr>
      <w:bookmarkStart w:id="97" w:name="bookmark57"/>
      <w:bookmarkStart w:id="98" w:name="_Toc150864283"/>
      <w:r w:rsidRPr="00F958A8">
        <w:t>П</w:t>
      </w:r>
      <w:bookmarkEnd w:id="97"/>
      <w:r w:rsidRPr="00F958A8">
        <w:t>оглавје 27: Животна средина и климатски промени</w:t>
      </w:r>
      <w:bookmarkEnd w:id="98"/>
    </w:p>
    <w:p w:rsidR="00C82BEE" w:rsidRPr="00F958A8" w:rsidRDefault="00C82BEE" w:rsidP="008D6AE4">
      <w:pPr>
        <w:shd w:val="clear" w:color="auto" w:fill="FFFFFF"/>
        <w:spacing w:before="120" w:after="120" w:line="240" w:lineRule="auto"/>
        <w:jc w:val="both"/>
        <w:rPr>
          <w:rFonts w:ascii="Times New Roman" w:hAnsi="Times New Roman"/>
          <w:sz w:val="24"/>
          <w:szCs w:val="24"/>
        </w:rPr>
      </w:pPr>
      <w:r w:rsidRPr="00F958A8">
        <w:rPr>
          <w:rFonts w:ascii="Times New Roman" w:hAnsi="Times New Roman"/>
          <w:i/>
          <w:iCs/>
          <w:color w:val="000000"/>
          <w:sz w:val="24"/>
          <w:szCs w:val="24"/>
        </w:rPr>
        <w:t xml:space="preserve">ЕУ промовира силна климатска акција, одржлив развој и заштита на животната средина. Правото на ЕУ содржи одредби </w:t>
      </w:r>
      <w:r>
        <w:rPr>
          <w:rFonts w:ascii="Times New Roman" w:hAnsi="Times New Roman"/>
          <w:i/>
          <w:iCs/>
          <w:color w:val="000000"/>
          <w:sz w:val="24"/>
          <w:szCs w:val="24"/>
        </w:rPr>
        <w:t>што</w:t>
      </w:r>
      <w:r w:rsidRPr="00F958A8">
        <w:rPr>
          <w:rFonts w:ascii="Times New Roman" w:hAnsi="Times New Roman"/>
          <w:i/>
          <w:iCs/>
          <w:color w:val="000000"/>
          <w:sz w:val="24"/>
          <w:szCs w:val="24"/>
        </w:rPr>
        <w:t xml:space="preserve"> се однесуваат на климатските промени, </w:t>
      </w:r>
      <w:r>
        <w:rPr>
          <w:rFonts w:ascii="Times New Roman" w:hAnsi="Times New Roman"/>
          <w:i/>
          <w:iCs/>
          <w:color w:val="000000"/>
          <w:sz w:val="24"/>
          <w:szCs w:val="24"/>
        </w:rPr>
        <w:t xml:space="preserve">на </w:t>
      </w:r>
      <w:r w:rsidRPr="00F958A8">
        <w:rPr>
          <w:rFonts w:ascii="Times New Roman" w:hAnsi="Times New Roman"/>
          <w:i/>
          <w:iCs/>
          <w:color w:val="000000"/>
          <w:sz w:val="24"/>
          <w:szCs w:val="24"/>
        </w:rPr>
        <w:t xml:space="preserve">квалитетот на водата и </w:t>
      </w:r>
      <w:r>
        <w:rPr>
          <w:rFonts w:ascii="Times New Roman" w:hAnsi="Times New Roman"/>
          <w:i/>
          <w:iCs/>
          <w:color w:val="000000"/>
          <w:sz w:val="24"/>
          <w:szCs w:val="24"/>
        </w:rPr>
        <w:t xml:space="preserve">на </w:t>
      </w:r>
      <w:r w:rsidRPr="00F958A8">
        <w:rPr>
          <w:rFonts w:ascii="Times New Roman" w:hAnsi="Times New Roman"/>
          <w:i/>
          <w:iCs/>
          <w:color w:val="000000"/>
          <w:sz w:val="24"/>
          <w:szCs w:val="24"/>
        </w:rPr>
        <w:t>воздухот,</w:t>
      </w:r>
      <w:r w:rsidRPr="00F958A8">
        <w:rPr>
          <w:rFonts w:ascii="Times New Roman" w:hAnsi="Times New Roman"/>
          <w:sz w:val="24"/>
          <w:szCs w:val="24"/>
        </w:rPr>
        <w:t xml:space="preserve"> </w:t>
      </w:r>
      <w:r w:rsidRPr="00EF10B7">
        <w:rPr>
          <w:rFonts w:ascii="Times New Roman" w:hAnsi="Times New Roman"/>
          <w:sz w:val="24"/>
          <w:szCs w:val="24"/>
        </w:rPr>
        <w:t>на</w:t>
      </w:r>
      <w:r>
        <w:rPr>
          <w:rFonts w:ascii="Times New Roman" w:hAnsi="Times New Roman"/>
          <w:sz w:val="24"/>
          <w:szCs w:val="24"/>
        </w:rPr>
        <w:t xml:space="preserve"> </w:t>
      </w:r>
      <w:r w:rsidRPr="00F958A8">
        <w:rPr>
          <w:rFonts w:ascii="Times New Roman" w:hAnsi="Times New Roman"/>
          <w:i/>
          <w:iCs/>
          <w:color w:val="000000"/>
          <w:sz w:val="24"/>
          <w:szCs w:val="24"/>
        </w:rPr>
        <w:t>управување</w:t>
      </w:r>
      <w:r>
        <w:rPr>
          <w:rFonts w:ascii="Times New Roman" w:hAnsi="Times New Roman"/>
          <w:i/>
          <w:iCs/>
          <w:color w:val="000000"/>
          <w:sz w:val="24"/>
          <w:szCs w:val="24"/>
        </w:rPr>
        <w:t>то</w:t>
      </w:r>
      <w:r w:rsidRPr="00F958A8">
        <w:rPr>
          <w:rFonts w:ascii="Times New Roman" w:hAnsi="Times New Roman"/>
          <w:i/>
          <w:iCs/>
          <w:color w:val="000000"/>
          <w:sz w:val="24"/>
          <w:szCs w:val="24"/>
        </w:rPr>
        <w:t xml:space="preserve"> со отпад, заштита на природата, индустриско загадување, хемикалии, бучава и цивилна заштита.</w:t>
      </w:r>
    </w:p>
    <w:p w:rsidR="00C82BEE" w:rsidRPr="00F958A8"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 xml:space="preserve">Северна Македонија </w:t>
      </w:r>
      <w:r w:rsidRPr="00F958A8">
        <w:rPr>
          <w:rFonts w:ascii="Times New Roman" w:hAnsi="Times New Roman"/>
          <w:b/>
          <w:bCs/>
          <w:color w:val="000000"/>
          <w:sz w:val="24"/>
          <w:szCs w:val="24"/>
        </w:rPr>
        <w:t>има одредено ниво на подготвеност</w:t>
      </w:r>
      <w:r w:rsidRPr="00F958A8">
        <w:rPr>
          <w:rFonts w:ascii="Times New Roman" w:hAnsi="Times New Roman"/>
          <w:color w:val="000000"/>
          <w:sz w:val="24"/>
          <w:szCs w:val="24"/>
        </w:rPr>
        <w:t xml:space="preserve"> во оваа област. </w:t>
      </w:r>
      <w:r>
        <w:rPr>
          <w:rFonts w:ascii="Times New Roman" w:hAnsi="Times New Roman"/>
          <w:color w:val="000000"/>
          <w:sz w:val="24"/>
          <w:szCs w:val="24"/>
        </w:rPr>
        <w:t>Главно</w:t>
      </w:r>
      <w:r w:rsidRPr="00F958A8">
        <w:rPr>
          <w:rFonts w:ascii="Times New Roman" w:hAnsi="Times New Roman"/>
          <w:color w:val="000000"/>
          <w:sz w:val="24"/>
          <w:szCs w:val="24"/>
        </w:rPr>
        <w:t xml:space="preserve">, постигнат е </w:t>
      </w:r>
      <w:r w:rsidRPr="00F958A8">
        <w:rPr>
          <w:rFonts w:ascii="Times New Roman" w:hAnsi="Times New Roman"/>
          <w:b/>
          <w:bCs/>
          <w:color w:val="000000"/>
          <w:sz w:val="24"/>
          <w:szCs w:val="24"/>
        </w:rPr>
        <w:t xml:space="preserve">ограничен напредок </w:t>
      </w:r>
      <w:r w:rsidRPr="00F958A8">
        <w:rPr>
          <w:rFonts w:ascii="Times New Roman" w:hAnsi="Times New Roman"/>
          <w:color w:val="000000"/>
          <w:sz w:val="24"/>
          <w:szCs w:val="24"/>
        </w:rPr>
        <w:t xml:space="preserve">во текот на извештајниот период. Во однос на секторот за управување со отпад, беше донесен првиот </w:t>
      </w:r>
      <w:r w:rsidR="00AB065D">
        <w:rPr>
          <w:rFonts w:ascii="Times New Roman" w:hAnsi="Times New Roman"/>
          <w:color w:val="000000"/>
          <w:sz w:val="24"/>
          <w:szCs w:val="24"/>
        </w:rPr>
        <w:t>Н</w:t>
      </w:r>
      <w:r w:rsidRPr="00F958A8">
        <w:rPr>
          <w:rFonts w:ascii="Times New Roman" w:hAnsi="Times New Roman"/>
          <w:color w:val="000000"/>
          <w:sz w:val="24"/>
          <w:szCs w:val="24"/>
        </w:rPr>
        <w:t>ационален план за спречување</w:t>
      </w:r>
      <w:r w:rsidR="00AB065D">
        <w:rPr>
          <w:rFonts w:ascii="Times New Roman" w:hAnsi="Times New Roman"/>
          <w:color w:val="000000"/>
          <w:sz w:val="24"/>
          <w:szCs w:val="24"/>
        </w:rPr>
        <w:t xml:space="preserve"> на создавање</w:t>
      </w:r>
      <w:r w:rsidRPr="00F958A8">
        <w:rPr>
          <w:rFonts w:ascii="Times New Roman" w:hAnsi="Times New Roman"/>
          <w:color w:val="000000"/>
          <w:sz w:val="24"/>
          <w:szCs w:val="24"/>
        </w:rPr>
        <w:t xml:space="preserve">то отпад. Во однос на заштитата на природата, беа донесени планови за управување со Шар Планина и </w:t>
      </w:r>
      <w:r>
        <w:rPr>
          <w:rFonts w:ascii="Times New Roman" w:hAnsi="Times New Roman"/>
          <w:color w:val="000000"/>
          <w:sz w:val="24"/>
          <w:szCs w:val="24"/>
        </w:rPr>
        <w:t xml:space="preserve">со </w:t>
      </w:r>
      <w:r w:rsidRPr="00F958A8">
        <w:rPr>
          <w:rFonts w:ascii="Times New Roman" w:hAnsi="Times New Roman"/>
          <w:color w:val="000000"/>
          <w:sz w:val="24"/>
          <w:szCs w:val="24"/>
        </w:rPr>
        <w:t xml:space="preserve">Осоговските Планини. Треба да се зајакне спроведувањето низ сите сектори за да биде во чекор со развојот на </w:t>
      </w:r>
      <w:r w:rsidRPr="00F958A8">
        <w:rPr>
          <w:rFonts w:ascii="Times New Roman" w:hAnsi="Times New Roman"/>
          <w:i/>
          <w:iCs/>
          <w:color w:val="000000"/>
          <w:sz w:val="24"/>
          <w:szCs w:val="24"/>
        </w:rPr>
        <w:t>правото на ЕУ</w:t>
      </w:r>
      <w:r w:rsidRPr="00F958A8">
        <w:rPr>
          <w:rFonts w:ascii="Times New Roman" w:hAnsi="Times New Roman"/>
          <w:color w:val="000000"/>
          <w:sz w:val="24"/>
          <w:szCs w:val="24"/>
        </w:rPr>
        <w:t>. Северна Македонија се охрабрува да преземе дополнителни чекори кон зелената транзиција, особено во поглед на Зелената агенда за земјите од Западен Балкан.</w:t>
      </w:r>
    </w:p>
    <w:p w:rsidR="00C82BEE" w:rsidRPr="00F958A8"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Препораките од минатата година беа делумно исполнети. Во наредната година, земјата треба особено:</w:t>
      </w:r>
    </w:p>
    <w:p w:rsidR="00C82BEE" w:rsidRPr="00F958A8"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w:t>
      </w:r>
      <w:r w:rsidRPr="00F958A8">
        <w:rPr>
          <w:rFonts w:ascii="Times New Roman" w:hAnsi="Times New Roman"/>
          <w:color w:val="000000"/>
          <w:sz w:val="24"/>
          <w:szCs w:val="24"/>
        </w:rPr>
        <w:tab/>
        <w:t>да спроведе конкретни мерки за намалување на загадувањето на воздухот на локално и на национално ниво и за намалување на загадувањето од една точка и дифузно загадување на ресурсите на свежа вода;</w:t>
      </w:r>
    </w:p>
    <w:p w:rsidR="00C82BEE" w:rsidRPr="00F958A8"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w:t>
      </w:r>
      <w:r w:rsidRPr="00F958A8">
        <w:rPr>
          <w:rFonts w:ascii="Times New Roman" w:hAnsi="Times New Roman"/>
          <w:color w:val="000000"/>
          <w:sz w:val="24"/>
          <w:szCs w:val="24"/>
        </w:rPr>
        <w:tab/>
        <w:t xml:space="preserve">да го направи оперативен регионалниот систем за управување со отпад во </w:t>
      </w:r>
      <w:r>
        <w:rPr>
          <w:rFonts w:ascii="Times New Roman" w:hAnsi="Times New Roman"/>
          <w:color w:val="000000"/>
          <w:sz w:val="24"/>
          <w:szCs w:val="24"/>
        </w:rPr>
        <w:t>Источниот</w:t>
      </w:r>
      <w:r w:rsidRPr="00F958A8">
        <w:rPr>
          <w:rFonts w:ascii="Times New Roman" w:hAnsi="Times New Roman"/>
          <w:color w:val="000000"/>
          <w:sz w:val="24"/>
          <w:szCs w:val="24"/>
        </w:rPr>
        <w:t xml:space="preserve"> и </w:t>
      </w:r>
      <w:r>
        <w:rPr>
          <w:rFonts w:ascii="Times New Roman" w:hAnsi="Times New Roman"/>
          <w:color w:val="000000"/>
          <w:sz w:val="24"/>
          <w:szCs w:val="24"/>
        </w:rPr>
        <w:t>во Североисточниот</w:t>
      </w:r>
      <w:r w:rsidRPr="00F958A8">
        <w:rPr>
          <w:rFonts w:ascii="Times New Roman" w:hAnsi="Times New Roman"/>
          <w:color w:val="000000"/>
          <w:sz w:val="24"/>
          <w:szCs w:val="24"/>
        </w:rPr>
        <w:t xml:space="preserve"> </w:t>
      </w:r>
      <w:r>
        <w:rPr>
          <w:rFonts w:ascii="Times New Roman" w:hAnsi="Times New Roman"/>
          <w:color w:val="000000"/>
          <w:sz w:val="24"/>
          <w:szCs w:val="24"/>
        </w:rPr>
        <w:t>Р</w:t>
      </w:r>
      <w:r w:rsidRPr="00F958A8">
        <w:rPr>
          <w:rFonts w:ascii="Times New Roman" w:hAnsi="Times New Roman"/>
          <w:color w:val="000000"/>
          <w:sz w:val="24"/>
          <w:szCs w:val="24"/>
        </w:rPr>
        <w:t>егион; да го спроведе Договорот од Париз, вклучително и преку донесување на Законот за клима, во согласност со рамката ЕУ 2030, како и преку донесување на националниот план за адаптација.</w:t>
      </w:r>
    </w:p>
    <w:p w:rsidR="00C82BEE" w:rsidRPr="00F958A8"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w:t>
      </w:r>
      <w:r w:rsidRPr="00F958A8">
        <w:rPr>
          <w:rFonts w:ascii="Times New Roman" w:hAnsi="Times New Roman"/>
          <w:color w:val="000000"/>
          <w:sz w:val="24"/>
          <w:szCs w:val="24"/>
        </w:rPr>
        <w:tab/>
        <w:t>значително да ги зајакне административните и инспекциските капацитети и да спроведе структурни реформи во сите сектори што ги опфаќа ова поглавје.</w:t>
      </w:r>
    </w:p>
    <w:p w:rsidR="00C82BEE" w:rsidRPr="00F958A8" w:rsidRDefault="00C82BEE" w:rsidP="008D6AE4">
      <w:pPr>
        <w:shd w:val="clear" w:color="auto" w:fill="FFFFFF"/>
        <w:spacing w:before="120" w:after="120" w:line="240" w:lineRule="auto"/>
        <w:jc w:val="both"/>
        <w:rPr>
          <w:rFonts w:ascii="Times New Roman" w:hAnsi="Times New Roman"/>
          <w:sz w:val="24"/>
          <w:szCs w:val="24"/>
        </w:rPr>
      </w:pPr>
      <w:r w:rsidRPr="00F958A8">
        <w:rPr>
          <w:rFonts w:ascii="Times New Roman" w:hAnsi="Times New Roman"/>
          <w:color w:val="000000"/>
          <w:sz w:val="24"/>
          <w:szCs w:val="24"/>
          <w:u w:val="single"/>
        </w:rPr>
        <w:t>Животна средина</w:t>
      </w:r>
    </w:p>
    <w:p w:rsidR="00C82BEE" w:rsidRPr="00F958A8" w:rsidRDefault="00C82BEE" w:rsidP="008D6AE4">
      <w:pPr>
        <w:shd w:val="clear" w:color="auto" w:fill="FFFFF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 xml:space="preserve">Во однос на </w:t>
      </w:r>
      <w:r w:rsidRPr="00F958A8">
        <w:rPr>
          <w:rFonts w:ascii="Times New Roman" w:hAnsi="Times New Roman"/>
          <w:b/>
          <w:bCs/>
          <w:color w:val="000000"/>
          <w:sz w:val="24"/>
          <w:szCs w:val="24"/>
        </w:rPr>
        <w:t>хоризонталното законодавство</w:t>
      </w:r>
      <w:r w:rsidRPr="00F958A8">
        <w:rPr>
          <w:rFonts w:ascii="Times New Roman" w:hAnsi="Times New Roman"/>
          <w:color w:val="000000"/>
          <w:sz w:val="24"/>
          <w:szCs w:val="24"/>
        </w:rPr>
        <w:t xml:space="preserve">, Северна Македонија треба да ја интензивира работата за да постигне целосно усогласување со директивите за процена на влијанието врз животната средина и за процена на </w:t>
      </w:r>
      <w:r w:rsidR="001450A9">
        <w:rPr>
          <w:rFonts w:ascii="Times New Roman" w:hAnsi="Times New Roman"/>
          <w:color w:val="000000"/>
          <w:sz w:val="24"/>
          <w:szCs w:val="24"/>
        </w:rPr>
        <w:t>стратешките</w:t>
      </w:r>
      <w:r w:rsidR="001450A9" w:rsidRPr="00F958A8">
        <w:rPr>
          <w:rFonts w:ascii="Times New Roman" w:hAnsi="Times New Roman"/>
          <w:color w:val="000000"/>
          <w:sz w:val="24"/>
          <w:szCs w:val="24"/>
        </w:rPr>
        <w:t xml:space="preserve"> </w:t>
      </w:r>
      <w:r w:rsidRPr="00F958A8">
        <w:rPr>
          <w:rFonts w:ascii="Times New Roman" w:hAnsi="Times New Roman"/>
          <w:color w:val="000000"/>
          <w:sz w:val="24"/>
          <w:szCs w:val="24"/>
        </w:rPr>
        <w:t xml:space="preserve">оцени за животната средина, кои се камен-темелници. Ова има негативно влијание врз сите други сектори на животната средина, </w:t>
      </w:r>
      <w:r>
        <w:rPr>
          <w:rFonts w:ascii="Times New Roman" w:hAnsi="Times New Roman"/>
          <w:color w:val="000000"/>
          <w:sz w:val="24"/>
          <w:szCs w:val="24"/>
        </w:rPr>
        <w:t xml:space="preserve">врз </w:t>
      </w:r>
      <w:r w:rsidRPr="00F958A8">
        <w:rPr>
          <w:rFonts w:ascii="Times New Roman" w:hAnsi="Times New Roman"/>
          <w:color w:val="000000"/>
          <w:sz w:val="24"/>
          <w:szCs w:val="24"/>
        </w:rPr>
        <w:t xml:space="preserve">инфраструктурните инвестиции и </w:t>
      </w:r>
      <w:r>
        <w:rPr>
          <w:rFonts w:ascii="Times New Roman" w:hAnsi="Times New Roman"/>
          <w:color w:val="000000"/>
          <w:sz w:val="24"/>
          <w:szCs w:val="24"/>
        </w:rPr>
        <w:t xml:space="preserve">врз </w:t>
      </w:r>
      <w:r w:rsidRPr="00F958A8">
        <w:rPr>
          <w:rFonts w:ascii="Times New Roman" w:hAnsi="Times New Roman"/>
          <w:color w:val="000000"/>
          <w:sz w:val="24"/>
          <w:szCs w:val="24"/>
        </w:rPr>
        <w:t xml:space="preserve">целокупното учество и перцепција на јавноста. Во јули 2022 година е изменет Законот за животна средина за да се воведе забрана за изградба/реконструкција на нови инсталации за тешки и загадувачки индустрии во радиус помал од пет километри од населба или </w:t>
      </w:r>
      <w:r>
        <w:rPr>
          <w:rFonts w:ascii="Times New Roman" w:hAnsi="Times New Roman"/>
          <w:color w:val="000000"/>
          <w:sz w:val="24"/>
          <w:szCs w:val="24"/>
        </w:rPr>
        <w:t xml:space="preserve">од </w:t>
      </w:r>
      <w:r w:rsidRPr="00F958A8">
        <w:rPr>
          <w:rFonts w:ascii="Times New Roman" w:hAnsi="Times New Roman"/>
          <w:color w:val="000000"/>
          <w:sz w:val="24"/>
          <w:szCs w:val="24"/>
        </w:rPr>
        <w:t>природна заштитена област. Земјата сѐ уште не е усогласена со Директивата за еколошка одговорност и Директивата за заштита на животната средина преку кривично право. Недостигот на специјализиран кадар и слабите институционални и административни капацитети ги поткопуваат контролата на квалитетот и перформансите на процените за влијанието врз животната средина.</w:t>
      </w:r>
    </w:p>
    <w:p w:rsidR="00C82BEE" w:rsidRPr="00F958A8" w:rsidRDefault="00C82BEE" w:rsidP="008D6AE4">
      <w:pPr>
        <w:shd w:val="clear" w:color="auto" w:fill="FFFFF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Иако загадувањето на воздухот и понатаму претставува голем проблем во големите градови</w:t>
      </w:r>
      <w:r w:rsidRPr="00EF10B7">
        <w:rPr>
          <w:rFonts w:ascii="Times New Roman" w:hAnsi="Times New Roman"/>
          <w:b/>
          <w:bCs/>
          <w:color w:val="000000"/>
          <w:sz w:val="24"/>
          <w:szCs w:val="24"/>
        </w:rPr>
        <w:t>,</w:t>
      </w:r>
      <w:r w:rsidRPr="00F958A8">
        <w:rPr>
          <w:rFonts w:ascii="Times New Roman" w:hAnsi="Times New Roman"/>
          <w:b/>
          <w:bCs/>
          <w:color w:val="000000"/>
          <w:sz w:val="24"/>
          <w:szCs w:val="24"/>
        </w:rPr>
        <w:t xml:space="preserve"> </w:t>
      </w:r>
      <w:r w:rsidRPr="00F958A8">
        <w:rPr>
          <w:rFonts w:ascii="Times New Roman" w:hAnsi="Times New Roman"/>
          <w:color w:val="000000"/>
          <w:sz w:val="24"/>
          <w:szCs w:val="24"/>
        </w:rPr>
        <w:t xml:space="preserve">сепак, во извештајниот период е постигнат ограничен напредок во однос на следењето на </w:t>
      </w:r>
      <w:r w:rsidRPr="00F958A8">
        <w:rPr>
          <w:rFonts w:ascii="Times New Roman" w:hAnsi="Times New Roman"/>
          <w:b/>
          <w:bCs/>
          <w:color w:val="000000"/>
          <w:sz w:val="24"/>
          <w:szCs w:val="24"/>
        </w:rPr>
        <w:t xml:space="preserve">квалитетот на воздухот, </w:t>
      </w:r>
      <w:r w:rsidRPr="00F958A8">
        <w:rPr>
          <w:rFonts w:ascii="Times New Roman" w:hAnsi="Times New Roman"/>
          <w:color w:val="000000"/>
          <w:sz w:val="24"/>
          <w:szCs w:val="24"/>
        </w:rPr>
        <w:t>но нема напредок во законодавството за квалитетот на воздухот</w:t>
      </w:r>
      <w:r w:rsidRPr="00EF10B7">
        <w:rPr>
          <w:rFonts w:ascii="Times New Roman" w:hAnsi="Times New Roman"/>
          <w:b/>
          <w:bCs/>
          <w:color w:val="000000"/>
          <w:sz w:val="24"/>
          <w:szCs w:val="24"/>
        </w:rPr>
        <w:t>.</w:t>
      </w:r>
      <w:r w:rsidRPr="00F958A8">
        <w:rPr>
          <w:rFonts w:ascii="Times New Roman" w:hAnsi="Times New Roman"/>
          <w:b/>
          <w:bCs/>
          <w:color w:val="000000"/>
          <w:sz w:val="24"/>
          <w:szCs w:val="24"/>
        </w:rPr>
        <w:t xml:space="preserve"> </w:t>
      </w:r>
      <w:r w:rsidRPr="00F958A8">
        <w:rPr>
          <w:rFonts w:ascii="Times New Roman" w:hAnsi="Times New Roman"/>
          <w:color w:val="000000"/>
          <w:sz w:val="24"/>
          <w:szCs w:val="24"/>
        </w:rPr>
        <w:t xml:space="preserve">Мрежата за автоматско следење континуирано е одржувана и беше надградена со нова станица во Охрид. Во 2022 година се финализирани Катастрите на загадувачи на воздух во Кичево, Кочани, Штип, Кавадарци, Гевгелија и </w:t>
      </w:r>
      <w:r>
        <w:rPr>
          <w:rFonts w:ascii="Times New Roman" w:hAnsi="Times New Roman"/>
          <w:color w:val="000000"/>
          <w:sz w:val="24"/>
          <w:szCs w:val="24"/>
        </w:rPr>
        <w:t xml:space="preserve">во </w:t>
      </w:r>
      <w:r w:rsidRPr="00F958A8">
        <w:rPr>
          <w:rFonts w:ascii="Times New Roman" w:hAnsi="Times New Roman"/>
          <w:color w:val="000000"/>
          <w:sz w:val="24"/>
          <w:szCs w:val="24"/>
        </w:rPr>
        <w:t xml:space="preserve">Прилеп. Оние во Велес, Тетово, Гостивар и </w:t>
      </w:r>
      <w:r>
        <w:rPr>
          <w:rFonts w:ascii="Times New Roman" w:hAnsi="Times New Roman"/>
          <w:color w:val="000000"/>
          <w:sz w:val="24"/>
          <w:szCs w:val="24"/>
        </w:rPr>
        <w:t xml:space="preserve">во </w:t>
      </w:r>
      <w:r w:rsidRPr="00F958A8">
        <w:rPr>
          <w:rFonts w:ascii="Times New Roman" w:hAnsi="Times New Roman"/>
          <w:color w:val="000000"/>
          <w:sz w:val="24"/>
          <w:szCs w:val="24"/>
        </w:rPr>
        <w:t>Струга сѐ уште се во фаза на развој. Во февруари 2023 година е одобрен Планот за квалитет на воздухот за Општина Гостивар, а во декември 2022 година за Општина Куманово.</w:t>
      </w:r>
    </w:p>
    <w:p w:rsidR="00C82BEE" w:rsidRPr="00F958A8" w:rsidRDefault="00C82BEE" w:rsidP="008D6AE4">
      <w:pPr>
        <w:shd w:val="clear" w:color="auto" w:fill="FFFFF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 xml:space="preserve">Во однос на </w:t>
      </w:r>
      <w:r w:rsidRPr="00F958A8">
        <w:rPr>
          <w:rFonts w:ascii="Times New Roman" w:hAnsi="Times New Roman"/>
          <w:b/>
          <w:bCs/>
          <w:color w:val="000000"/>
          <w:sz w:val="24"/>
          <w:szCs w:val="24"/>
        </w:rPr>
        <w:t>управувањето со отпад</w:t>
      </w:r>
      <w:r w:rsidRPr="00F958A8">
        <w:rPr>
          <w:rFonts w:ascii="Times New Roman" w:hAnsi="Times New Roman"/>
          <w:color w:val="000000"/>
          <w:sz w:val="24"/>
          <w:szCs w:val="24"/>
        </w:rPr>
        <w:t xml:space="preserve">, во септември 2022 година е донесен првиот Национален план за спречување на создавање отпад (за периодот 2022-2028 година), во кој се наведени регулаторните, политичките и практичните мерки што треба да ги преземат разните чинители во јавниот и </w:t>
      </w:r>
      <w:r>
        <w:rPr>
          <w:rFonts w:ascii="Times New Roman" w:hAnsi="Times New Roman"/>
          <w:color w:val="000000"/>
          <w:sz w:val="24"/>
          <w:szCs w:val="24"/>
        </w:rPr>
        <w:t xml:space="preserve">во </w:t>
      </w:r>
      <w:r w:rsidRPr="00F958A8">
        <w:rPr>
          <w:rFonts w:ascii="Times New Roman" w:hAnsi="Times New Roman"/>
          <w:color w:val="000000"/>
          <w:sz w:val="24"/>
          <w:szCs w:val="24"/>
        </w:rPr>
        <w:t>приватниот сектор.</w:t>
      </w:r>
    </w:p>
    <w:p w:rsidR="00C82BEE" w:rsidRPr="00F958A8" w:rsidRDefault="00C82BEE" w:rsidP="008D6AE4">
      <w:pPr>
        <w:shd w:val="clear" w:color="auto" w:fill="FFFFF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 xml:space="preserve">Во тек е процесот на затворање на нестандардните депонии во </w:t>
      </w:r>
      <w:r>
        <w:rPr>
          <w:rFonts w:ascii="Times New Roman" w:hAnsi="Times New Roman"/>
          <w:color w:val="000000"/>
          <w:sz w:val="24"/>
          <w:szCs w:val="24"/>
        </w:rPr>
        <w:t>Источниот Регион</w:t>
      </w:r>
      <w:r w:rsidRPr="00F958A8">
        <w:rPr>
          <w:rFonts w:ascii="Times New Roman" w:hAnsi="Times New Roman"/>
          <w:color w:val="000000"/>
          <w:sz w:val="24"/>
          <w:szCs w:val="24"/>
        </w:rPr>
        <w:t xml:space="preserve">. Употребата на пластични ќеси се намали за 80 % откако се воведе нивната забрана на крајот на 2021 година, Системот што го воспоставија колективните оператори за шемата за проширена одговорност на производителот (ПОП), а кој ги опфаќа јавните комунални претпријатија и лиценцираните приватни оператори за одвоено собирање пластика, хартија и стакло од домаќинства и претпријатија е оперативен, но капацитетите се ограничени. </w:t>
      </w:r>
      <w:r>
        <w:rPr>
          <w:rFonts w:ascii="Times New Roman" w:hAnsi="Times New Roman"/>
          <w:sz w:val="24"/>
          <w:szCs w:val="24"/>
        </w:rPr>
        <w:t>П</w:t>
      </w:r>
      <w:r w:rsidRPr="00F958A8">
        <w:rPr>
          <w:rFonts w:ascii="Times New Roman" w:hAnsi="Times New Roman"/>
          <w:sz w:val="24"/>
          <w:szCs w:val="24"/>
        </w:rPr>
        <w:t xml:space="preserve">очнати се </w:t>
      </w:r>
      <w:r w:rsidRPr="00F958A8">
        <w:rPr>
          <w:rFonts w:ascii="Times New Roman" w:hAnsi="Times New Roman"/>
          <w:color w:val="000000"/>
          <w:sz w:val="24"/>
          <w:szCs w:val="24"/>
        </w:rPr>
        <w:t>активности за</w:t>
      </w:r>
      <w:r w:rsidRPr="00F958A8">
        <w:rPr>
          <w:rFonts w:ascii="Times New Roman" w:hAnsi="Times New Roman"/>
          <w:sz w:val="24"/>
          <w:szCs w:val="24"/>
        </w:rPr>
        <w:t xml:space="preserve"> </w:t>
      </w:r>
      <w:r w:rsidRPr="00F958A8">
        <w:rPr>
          <w:rFonts w:ascii="Times New Roman" w:hAnsi="Times New Roman"/>
          <w:color w:val="000000"/>
          <w:sz w:val="24"/>
          <w:szCs w:val="24"/>
        </w:rPr>
        <w:t>понатамошно подобрување на ПОП</w:t>
      </w:r>
      <w:r>
        <w:rPr>
          <w:rFonts w:ascii="Times New Roman" w:hAnsi="Times New Roman"/>
          <w:color w:val="000000"/>
          <w:sz w:val="24"/>
          <w:szCs w:val="24"/>
        </w:rPr>
        <w:t>-</w:t>
      </w:r>
      <w:r w:rsidRPr="00F958A8">
        <w:rPr>
          <w:rFonts w:ascii="Times New Roman" w:hAnsi="Times New Roman"/>
          <w:color w:val="000000"/>
          <w:sz w:val="24"/>
          <w:szCs w:val="24"/>
        </w:rPr>
        <w:t xml:space="preserve">системот. Меѓутоа, </w:t>
      </w:r>
      <w:r>
        <w:rPr>
          <w:rFonts w:ascii="Times New Roman" w:hAnsi="Times New Roman"/>
          <w:color w:val="000000"/>
          <w:sz w:val="24"/>
          <w:szCs w:val="24"/>
        </w:rPr>
        <w:t>неговото спроведување</w:t>
      </w:r>
      <w:r w:rsidRPr="00F958A8">
        <w:rPr>
          <w:rFonts w:ascii="Times New Roman" w:hAnsi="Times New Roman"/>
          <w:color w:val="000000"/>
          <w:sz w:val="24"/>
          <w:szCs w:val="24"/>
        </w:rPr>
        <w:t xml:space="preserve"> и понатаму останува значителен предизвик во секторот за управување со отпад.</w:t>
      </w:r>
    </w:p>
    <w:p w:rsidR="00C82BEE" w:rsidRPr="00F958A8" w:rsidRDefault="00C82BEE" w:rsidP="008D6AE4">
      <w:pPr>
        <w:shd w:val="clear" w:color="auto" w:fill="FFFFF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 xml:space="preserve">Северна Македонија треба да продолжи да го усогласува своето законодавство со </w:t>
      </w:r>
      <w:r w:rsidRPr="00F958A8">
        <w:rPr>
          <w:rFonts w:ascii="Times New Roman" w:hAnsi="Times New Roman"/>
          <w:i/>
          <w:iCs/>
          <w:color w:val="000000"/>
          <w:sz w:val="24"/>
          <w:szCs w:val="24"/>
        </w:rPr>
        <w:t xml:space="preserve">правото на ЕУ </w:t>
      </w:r>
      <w:r w:rsidRPr="00F958A8">
        <w:rPr>
          <w:rFonts w:ascii="Times New Roman" w:hAnsi="Times New Roman"/>
          <w:color w:val="000000"/>
          <w:sz w:val="24"/>
          <w:szCs w:val="24"/>
        </w:rPr>
        <w:t xml:space="preserve">во однос на </w:t>
      </w:r>
      <w:r w:rsidRPr="00F958A8">
        <w:rPr>
          <w:rFonts w:ascii="Times New Roman" w:hAnsi="Times New Roman"/>
          <w:b/>
          <w:bCs/>
          <w:color w:val="000000"/>
          <w:sz w:val="24"/>
          <w:szCs w:val="24"/>
        </w:rPr>
        <w:t>управување со квалитетот на водата</w:t>
      </w:r>
      <w:r w:rsidRPr="00F958A8">
        <w:rPr>
          <w:rFonts w:ascii="Times New Roman" w:hAnsi="Times New Roman"/>
          <w:color w:val="000000"/>
          <w:sz w:val="24"/>
          <w:szCs w:val="24"/>
        </w:rPr>
        <w:t xml:space="preserve">. Во февруари 2023 година е донесена Програмата за управување со водите за 2023 за дизајнирање и изградба на нови </w:t>
      </w:r>
      <w:r>
        <w:rPr>
          <w:rFonts w:ascii="Times New Roman" w:hAnsi="Times New Roman"/>
          <w:color w:val="000000"/>
          <w:sz w:val="24"/>
          <w:szCs w:val="24"/>
        </w:rPr>
        <w:t>–</w:t>
      </w:r>
      <w:r w:rsidRPr="00F958A8">
        <w:rPr>
          <w:rFonts w:ascii="Times New Roman" w:hAnsi="Times New Roman"/>
          <w:color w:val="000000"/>
          <w:sz w:val="24"/>
          <w:szCs w:val="24"/>
        </w:rPr>
        <w:t xml:space="preserve"> и одржување и подобрување на постојните </w:t>
      </w:r>
      <w:r>
        <w:rPr>
          <w:rFonts w:ascii="Times New Roman" w:hAnsi="Times New Roman"/>
          <w:color w:val="000000"/>
          <w:sz w:val="24"/>
          <w:szCs w:val="24"/>
        </w:rPr>
        <w:t>–</w:t>
      </w:r>
      <w:r w:rsidRPr="00F958A8">
        <w:rPr>
          <w:rFonts w:ascii="Times New Roman" w:hAnsi="Times New Roman"/>
          <w:color w:val="000000"/>
          <w:sz w:val="24"/>
          <w:szCs w:val="24"/>
        </w:rPr>
        <w:t xml:space="preserve"> јавни објекти за снабдување со вода и регулирање на водотеците. Во голема мера е воспоставена правната рамка и рамката на политики за интегрирано управување со водата во согласност со </w:t>
      </w:r>
      <w:r w:rsidRPr="00F958A8">
        <w:rPr>
          <w:rFonts w:ascii="Times New Roman" w:hAnsi="Times New Roman"/>
          <w:i/>
          <w:iCs/>
          <w:color w:val="000000"/>
          <w:sz w:val="24"/>
          <w:szCs w:val="24"/>
        </w:rPr>
        <w:t xml:space="preserve">правото на ЕУ </w:t>
      </w:r>
      <w:r>
        <w:rPr>
          <w:rFonts w:ascii="Times New Roman" w:hAnsi="Times New Roman"/>
          <w:color w:val="000000"/>
          <w:sz w:val="24"/>
          <w:szCs w:val="24"/>
        </w:rPr>
        <w:t>за</w:t>
      </w:r>
      <w:r w:rsidRPr="00F958A8">
        <w:rPr>
          <w:rFonts w:ascii="Times New Roman" w:hAnsi="Times New Roman"/>
          <w:color w:val="000000"/>
          <w:sz w:val="24"/>
          <w:szCs w:val="24"/>
        </w:rPr>
        <w:t xml:space="preserve"> водата. Сепак, бавното спроведување претставува поразувачка системска слабост. Постигнат е одреден напредок во зголемувањето на многу ниското ниво на финансирање. Во април 2023 година е потпишан Договорот за голем проект за изградба на пречистителна станица за отпадни води во Скопје (ПСОВ), а во јануари 2023 година е потпишан Договорот за голем проект за изградба на канализациската мрежа во Кичево. За справување со загадувањето на водата, треба да се спроведе законодавството поврзано со Директивата за третман на урбани води (ДТУВ). Не е постигнат напредок во довршување на правилата за спроведување и </w:t>
      </w:r>
      <w:r>
        <w:rPr>
          <w:rFonts w:ascii="Times New Roman" w:hAnsi="Times New Roman"/>
          <w:color w:val="000000"/>
          <w:sz w:val="24"/>
          <w:szCs w:val="24"/>
        </w:rPr>
        <w:t xml:space="preserve">на </w:t>
      </w:r>
      <w:r w:rsidRPr="00F958A8">
        <w:rPr>
          <w:rFonts w:ascii="Times New Roman" w:hAnsi="Times New Roman"/>
          <w:color w:val="000000"/>
          <w:sz w:val="24"/>
          <w:szCs w:val="24"/>
        </w:rPr>
        <w:t xml:space="preserve">прописите, вклучувајќи ги и оние за одредување на областите чувствителни на </w:t>
      </w:r>
      <w:r w:rsidRPr="00497288">
        <w:rPr>
          <w:rFonts w:ascii="Times New Roman" w:hAnsi="Times New Roman"/>
          <w:color w:val="000000"/>
          <w:sz w:val="24"/>
          <w:szCs w:val="24"/>
        </w:rPr>
        <w:t>еутрофикација</w:t>
      </w:r>
      <w:r w:rsidRPr="00F958A8">
        <w:rPr>
          <w:rFonts w:ascii="Times New Roman" w:hAnsi="Times New Roman"/>
          <w:color w:val="000000"/>
          <w:sz w:val="24"/>
          <w:szCs w:val="24"/>
        </w:rPr>
        <w:t>.</w:t>
      </w:r>
    </w:p>
    <w:p w:rsidR="00C82BEE" w:rsidRPr="00F958A8" w:rsidRDefault="00C82BEE" w:rsidP="008D6AE4">
      <w:pPr>
        <w:shd w:val="clear" w:color="auto" w:fill="FFFFFF"/>
        <w:spacing w:before="120" w:after="120" w:line="240" w:lineRule="auto"/>
        <w:jc w:val="both"/>
        <w:rPr>
          <w:rFonts w:ascii="Times New Roman" w:hAnsi="Times New Roman"/>
          <w:sz w:val="24"/>
          <w:szCs w:val="24"/>
        </w:rPr>
      </w:pPr>
      <w:r w:rsidRPr="00F958A8">
        <w:rPr>
          <w:rFonts w:ascii="Times New Roman" w:hAnsi="Times New Roman"/>
          <w:color w:val="000000"/>
          <w:sz w:val="24"/>
          <w:szCs w:val="24"/>
        </w:rPr>
        <w:t xml:space="preserve">Во однос на </w:t>
      </w:r>
      <w:r w:rsidRPr="00F958A8">
        <w:rPr>
          <w:rFonts w:ascii="Times New Roman" w:hAnsi="Times New Roman"/>
          <w:b/>
          <w:bCs/>
          <w:color w:val="000000"/>
          <w:sz w:val="24"/>
          <w:szCs w:val="24"/>
        </w:rPr>
        <w:t>заштита на природата</w:t>
      </w:r>
      <w:r w:rsidRPr="00F958A8">
        <w:rPr>
          <w:rFonts w:ascii="Times New Roman" w:hAnsi="Times New Roman"/>
          <w:color w:val="000000"/>
          <w:sz w:val="24"/>
          <w:szCs w:val="24"/>
        </w:rPr>
        <w:t xml:space="preserve">, процесот на прогласување на </w:t>
      </w:r>
      <w:bookmarkStart w:id="99" w:name="_Hlk150685671"/>
      <w:r>
        <w:rPr>
          <w:rFonts w:ascii="Times New Roman" w:hAnsi="Times New Roman"/>
          <w:color w:val="000000"/>
          <w:sz w:val="24"/>
          <w:szCs w:val="24"/>
        </w:rPr>
        <w:t>Студенчишко</w:t>
      </w:r>
      <w:r w:rsidRPr="00F958A8">
        <w:rPr>
          <w:rFonts w:ascii="Times New Roman" w:hAnsi="Times New Roman"/>
          <w:color w:val="000000"/>
          <w:sz w:val="24"/>
          <w:szCs w:val="24"/>
        </w:rPr>
        <w:t xml:space="preserve"> Блато</w:t>
      </w:r>
      <w:bookmarkEnd w:id="99"/>
      <w:r w:rsidRPr="00F958A8">
        <w:rPr>
          <w:rFonts w:ascii="Times New Roman" w:hAnsi="Times New Roman"/>
          <w:color w:val="000000"/>
          <w:sz w:val="24"/>
          <w:szCs w:val="24"/>
        </w:rPr>
        <w:t>, Кањон Матка, Охридско Езеро и Белчиско Блато како заштитени подрачја</w:t>
      </w:r>
      <w:r>
        <w:rPr>
          <w:rFonts w:ascii="Times New Roman" w:hAnsi="Times New Roman"/>
          <w:color w:val="000000"/>
          <w:sz w:val="24"/>
          <w:szCs w:val="24"/>
        </w:rPr>
        <w:t>,</w:t>
      </w:r>
      <w:r w:rsidRPr="00F958A8">
        <w:rPr>
          <w:rFonts w:ascii="Times New Roman" w:hAnsi="Times New Roman"/>
          <w:color w:val="000000"/>
          <w:sz w:val="24"/>
          <w:szCs w:val="24"/>
        </w:rPr>
        <w:t xml:space="preserve"> допрва треба да се заврши. Донесени се Плановите за управување со Шар Планина (и </w:t>
      </w:r>
      <w:r>
        <w:rPr>
          <w:rFonts w:ascii="Times New Roman" w:hAnsi="Times New Roman"/>
          <w:color w:val="000000"/>
          <w:sz w:val="24"/>
          <w:szCs w:val="24"/>
        </w:rPr>
        <w:t xml:space="preserve">со </w:t>
      </w:r>
      <w:r w:rsidRPr="00F958A8">
        <w:rPr>
          <w:rFonts w:ascii="Times New Roman" w:hAnsi="Times New Roman"/>
          <w:color w:val="000000"/>
          <w:sz w:val="24"/>
          <w:szCs w:val="24"/>
        </w:rPr>
        <w:t xml:space="preserve">Осоговските Планини) </w:t>
      </w:r>
      <w:r>
        <w:rPr>
          <w:rFonts w:ascii="Times New Roman" w:hAnsi="Times New Roman"/>
          <w:color w:val="000000"/>
          <w:sz w:val="24"/>
          <w:szCs w:val="24"/>
        </w:rPr>
        <w:t>чија цел е зајакнување на</w:t>
      </w:r>
      <w:r w:rsidRPr="00F958A8">
        <w:rPr>
          <w:rFonts w:ascii="Times New Roman" w:hAnsi="Times New Roman"/>
          <w:color w:val="000000"/>
          <w:sz w:val="24"/>
          <w:szCs w:val="24"/>
        </w:rPr>
        <w:t xml:space="preserve"> заштитата на овие подрачја. Треба да се донесе Законот за заштита на природата, осмислен да биде усогласен со барањата на Директивата на ЕУ за живеалишта и Директивата за птици. Зголемени се националните финансии за заштита на природата, но </w:t>
      </w:r>
      <w:r>
        <w:rPr>
          <w:rFonts w:ascii="Times New Roman" w:hAnsi="Times New Roman"/>
          <w:color w:val="000000"/>
          <w:sz w:val="24"/>
          <w:szCs w:val="24"/>
        </w:rPr>
        <w:t>с</w:t>
      </w:r>
      <w:r w:rsidRPr="002A12AA">
        <w:rPr>
          <w:rFonts w:ascii="Times New Roman" w:hAnsi="Times New Roman"/>
          <w:color w:val="000000"/>
          <w:sz w:val="24"/>
          <w:szCs w:val="24"/>
          <w:lang w:val="ru-RU"/>
        </w:rPr>
        <w:t>è</w:t>
      </w:r>
      <w:r>
        <w:rPr>
          <w:rFonts w:ascii="Times New Roman" w:hAnsi="Times New Roman"/>
          <w:color w:val="000000"/>
          <w:sz w:val="24"/>
          <w:szCs w:val="24"/>
        </w:rPr>
        <w:t xml:space="preserve"> </w:t>
      </w:r>
      <w:r w:rsidRPr="00F958A8">
        <w:rPr>
          <w:rFonts w:ascii="Times New Roman" w:hAnsi="Times New Roman"/>
          <w:color w:val="000000"/>
          <w:sz w:val="24"/>
          <w:szCs w:val="24"/>
        </w:rPr>
        <w:t xml:space="preserve">уште се далеку од доволни. Недостигот на одржливо финансирање и административни капацитети за управување со заштитените области и понатаму </w:t>
      </w:r>
      <w:r>
        <w:rPr>
          <w:rFonts w:ascii="Times New Roman" w:hAnsi="Times New Roman"/>
          <w:color w:val="000000"/>
          <w:sz w:val="24"/>
          <w:szCs w:val="24"/>
        </w:rPr>
        <w:t>претставува</w:t>
      </w:r>
      <w:r w:rsidRPr="00F958A8">
        <w:rPr>
          <w:rFonts w:ascii="Times New Roman" w:hAnsi="Times New Roman"/>
          <w:color w:val="000000"/>
          <w:sz w:val="24"/>
          <w:szCs w:val="24"/>
        </w:rPr>
        <w:t xml:space="preserve"> огромен предизвик.</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Континуирано се одвиваат активностите за идентификување потенцијални Натура 2000 подрачја низ земјата. Преземени се првични чекори за дигитализација на системот за издавање дозволи, промовирање размена на податоци и соработка со цел да се олесни спроведувањето на CITES. Постигнат е напредок во прекуграничната соработка за заштита на Преспанското Езеро за време на состаноците на Комитетот за управување со паркот Преспа и Работната група за управување со водите.</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Препораките на УНЕСКО за природното и за културното наследство на Охридскиот регион и понатаму не се спроведуваат доволно. Секретаријатот на Бернската конвенција изврши мисија во врска со отвореното досие „Наводни негативни влијанија врз Охридското Езеро и Националниот парк Галичица – кандидати за области на Емералд“ поради развој на инфраструктурата.</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Во јули 2023 година, ЕУ и Северна Македонија го потпишаа договорот за учество на земјата во програмата LIFE. Приклучувањето кон програмата LIFE ќе ѝ овозможи на Северна Македонија да учествува во различни активности за заштита на животната средина, вклучително и поддршка за природата и биодиверзитетот и за климатските активности.</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однос на </w:t>
      </w:r>
      <w:r>
        <w:rPr>
          <w:rFonts w:ascii="Times New Roman" w:hAnsi="Times New Roman"/>
          <w:b/>
          <w:bCs/>
          <w:color w:val="000000"/>
          <w:sz w:val="24"/>
          <w:szCs w:val="24"/>
        </w:rPr>
        <w:t>индустриското загадување и управување со ризик</w:t>
      </w:r>
      <w:r w:rsidRPr="00EF10B7">
        <w:rPr>
          <w:rFonts w:ascii="Times New Roman" w:hAnsi="Times New Roman"/>
          <w:b/>
          <w:bCs/>
          <w:color w:val="000000"/>
          <w:sz w:val="24"/>
          <w:szCs w:val="24"/>
        </w:rPr>
        <w:t>,</w:t>
      </w:r>
      <w:r>
        <w:rPr>
          <w:rFonts w:ascii="Times New Roman" w:hAnsi="Times New Roman"/>
          <w:b/>
          <w:bCs/>
          <w:color w:val="000000"/>
          <w:sz w:val="24"/>
          <w:szCs w:val="24"/>
        </w:rPr>
        <w:t xml:space="preserve"> </w:t>
      </w:r>
      <w:r>
        <w:rPr>
          <w:rFonts w:ascii="Times New Roman" w:hAnsi="Times New Roman"/>
          <w:color w:val="000000"/>
          <w:sz w:val="24"/>
          <w:szCs w:val="24"/>
        </w:rPr>
        <w:t>Законот за индустриски емисии сè уште се чека да се донесе и нема никаков напредок во поглед на интегрираното издавање дозволи. Северна Македонија треба да се усогласи со Директивата Севесо III, Регулативата на ЕУ за еко-ознаки и системот на ЕУ за ревизија и за управување со животната средина.</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Нема значителен развој во областите на </w:t>
      </w:r>
      <w:r>
        <w:rPr>
          <w:rFonts w:ascii="Times New Roman" w:hAnsi="Times New Roman"/>
          <w:b/>
          <w:bCs/>
          <w:color w:val="000000"/>
          <w:sz w:val="24"/>
          <w:szCs w:val="24"/>
        </w:rPr>
        <w:t xml:space="preserve">загадување со хемикалии </w:t>
      </w:r>
      <w:r>
        <w:rPr>
          <w:rFonts w:ascii="Times New Roman" w:hAnsi="Times New Roman"/>
          <w:color w:val="000000"/>
          <w:sz w:val="24"/>
          <w:szCs w:val="24"/>
        </w:rPr>
        <w:t xml:space="preserve">и </w:t>
      </w:r>
      <w:r>
        <w:rPr>
          <w:rFonts w:ascii="Times New Roman" w:hAnsi="Times New Roman"/>
          <w:b/>
          <w:bCs/>
          <w:color w:val="000000"/>
          <w:sz w:val="24"/>
          <w:szCs w:val="24"/>
        </w:rPr>
        <w:t xml:space="preserve">бучава </w:t>
      </w:r>
      <w:r>
        <w:rPr>
          <w:rFonts w:ascii="Times New Roman" w:hAnsi="Times New Roman"/>
          <w:color w:val="000000"/>
          <w:sz w:val="24"/>
          <w:szCs w:val="24"/>
        </w:rPr>
        <w:t>во извештајниот период.</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однос на </w:t>
      </w:r>
      <w:r>
        <w:rPr>
          <w:rFonts w:ascii="Times New Roman" w:hAnsi="Times New Roman"/>
          <w:b/>
          <w:bCs/>
          <w:color w:val="000000"/>
          <w:sz w:val="24"/>
          <w:szCs w:val="24"/>
        </w:rPr>
        <w:t>цивилната заштита</w:t>
      </w:r>
      <w:r>
        <w:rPr>
          <w:rFonts w:ascii="Times New Roman" w:hAnsi="Times New Roman"/>
          <w:color w:val="000000"/>
          <w:sz w:val="24"/>
          <w:szCs w:val="24"/>
        </w:rPr>
        <w:t>, од февруари 2022 година е достапен европскиот број за итни повици, Е 112, за сите луѓе низ земјата. Понатаму, сервисиран е возниот парк на противпожарни авиони и набавена е нова противпожарна опрема. Северна Македонија ја потпиша ревизијата на административниот договор со Механизмот за цивилна заштита на Унијата.</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И покрај долгогодишното учество во системот, не е постигнат напредок во поврзувањето на националниот комуникациски систем за итни случаи со ЦЕЦИС, Заедничкиот комуникациски и информативен систем на Европската комисија, или во подоброто утврдување на улогата на националниот координатор за Националната платформа за намалување на ризиците од катастрофи. Новата Национална стратегија за заштита и спасување за 2022-2025 година допрва треба да се донесе. Земјата треба да преземе конкретни чекори за да воведе задолжителна програма за обука на целиот кадар за територијална, противпожарна и спасувачка/цивилна заштита.</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u w:val="single"/>
        </w:rPr>
        <w:t>Климатски промени</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Во јуни 2022 година е донесен Националниот план за енергија и клима (2021-2030), но Законот за климатска акција допрва треба да се донесе. Во февруари 2023 година е донесена Четвртата национална комуникација при Рамковната конвенција на ОН за климатски промени.</w:t>
      </w:r>
    </w:p>
    <w:p w:rsidR="00C82BEE" w:rsidRPr="0031470B" w:rsidRDefault="00C82BEE" w:rsidP="008D6AE4">
      <w:pPr>
        <w:pStyle w:val="Heading2"/>
      </w:pPr>
      <w:bookmarkStart w:id="100" w:name="bookmark58"/>
      <w:bookmarkStart w:id="101" w:name="_Toc150864284"/>
      <w:r>
        <w:t>К</w:t>
      </w:r>
      <w:bookmarkEnd w:id="100"/>
      <w:r>
        <w:t>ластер 5: Ресурси, земјоделство и кохезија</w:t>
      </w:r>
      <w:bookmarkEnd w:id="101"/>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Кластерот 5 за ресурси, земјоделство и кохезија опфаќа: земјоделство и рурален развој (поглавје 11); безбедност на храна, ветеринарна и фитосанитарна политика (поглавје 12); рибарство и аквакултура (поглавје 13); регионална политика и координација на структурните инструменти (поглавје 22); финансиски и буџетски одредби (поглавје 33).</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Северна Македонија е умерено подготвена во повеќе области од Кластер 5. Има добро ниво на подготвеност во областа на безбедноста на храната, ветеринарната и фитосанитарната политика и е во рана фаза на подготвеност во финансиските и во буџетските одредби. За време на извештајниот период, беше постигнат одреден напредок во земјоделскиот и во руралниот развој, во рибарството и аквакултурата, како и во безбедноста на храна, ветеринарната и фитосанитарната политика. Сепак, потребни се дополнителни напори, особено во областите каде што има ограничен напредок или нема напредок какви што се регионалната политика и координацијата на структурните инструменти, како и во финансиските и буџетските одредби.</w:t>
      </w:r>
    </w:p>
    <w:p w:rsidR="00C82BEE" w:rsidRPr="0031470B" w:rsidRDefault="00C82BEE" w:rsidP="008D6AE4">
      <w:pPr>
        <w:pStyle w:val="Heading2"/>
      </w:pPr>
      <w:bookmarkStart w:id="102" w:name="bookmark59"/>
      <w:bookmarkStart w:id="103" w:name="_Toc150864285"/>
      <w:r>
        <w:t>П</w:t>
      </w:r>
      <w:bookmarkEnd w:id="102"/>
      <w:r>
        <w:t>оглавје 11: Земјоделски и рурален развој</w:t>
      </w:r>
      <w:bookmarkEnd w:id="103"/>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i/>
          <w:iCs/>
          <w:color w:val="000000"/>
          <w:sz w:val="24"/>
          <w:szCs w:val="24"/>
        </w:rPr>
        <w:t xml:space="preserve">Заедничката земјоделска политика на ЕУ ги поддржува земјоделците и ја гарантира безбедноста на храната. Помага во борбата против климатските промени и во одржливото управување со националните ресурси; ги одржува руралните подрачја и предели низ ЕУ; и ја одржува руралната економија во живот преку промовирање работни места во земјоделството, во земјоделско-прехранбената индустрија и во сродните сектори. Ова бара </w:t>
      </w:r>
      <w:r w:rsidR="00AB065D">
        <w:rPr>
          <w:rFonts w:ascii="Times New Roman" w:hAnsi="Times New Roman"/>
          <w:i/>
          <w:iCs/>
          <w:color w:val="000000"/>
          <w:sz w:val="24"/>
          <w:szCs w:val="24"/>
          <w:lang w:val="en-US"/>
        </w:rPr>
        <w:t>o</w:t>
      </w:r>
      <w:r w:rsidR="00AB065D">
        <w:rPr>
          <w:rFonts w:ascii="Times New Roman" w:hAnsi="Times New Roman"/>
          <w:i/>
          <w:iCs/>
          <w:color w:val="000000"/>
          <w:sz w:val="24"/>
          <w:szCs w:val="24"/>
        </w:rPr>
        <w:t xml:space="preserve">држливи </w:t>
      </w:r>
      <w:r>
        <w:rPr>
          <w:rFonts w:ascii="Times New Roman" w:hAnsi="Times New Roman"/>
          <w:i/>
          <w:iCs/>
          <w:color w:val="000000"/>
          <w:sz w:val="24"/>
          <w:szCs w:val="24"/>
        </w:rPr>
        <w:t>системи за управување и контрола. Исто така, постојат заеднички правила на ЕУ за пазарни стандарди, за политиката за квалитет и за органско земјоделство.</w:t>
      </w:r>
    </w:p>
    <w:p w:rsidR="00C82BEE" w:rsidRPr="0031470B"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Северна Македонија останува </w:t>
      </w:r>
      <w:r>
        <w:rPr>
          <w:rFonts w:ascii="Times New Roman" w:hAnsi="Times New Roman"/>
          <w:b/>
          <w:bCs/>
          <w:color w:val="000000"/>
          <w:sz w:val="24"/>
          <w:szCs w:val="24"/>
        </w:rPr>
        <w:t xml:space="preserve">умерено подготвена </w:t>
      </w:r>
      <w:r>
        <w:rPr>
          <w:rFonts w:ascii="Times New Roman" w:hAnsi="Times New Roman"/>
          <w:color w:val="000000"/>
          <w:sz w:val="24"/>
          <w:szCs w:val="24"/>
        </w:rPr>
        <w:t xml:space="preserve">во областа на земјоделството и на руралниот развој. Постигнат е </w:t>
      </w:r>
      <w:r>
        <w:rPr>
          <w:rFonts w:ascii="Times New Roman" w:hAnsi="Times New Roman"/>
          <w:b/>
          <w:bCs/>
          <w:color w:val="000000"/>
          <w:sz w:val="24"/>
          <w:szCs w:val="24"/>
        </w:rPr>
        <w:t xml:space="preserve">одреден напредок </w:t>
      </w:r>
      <w:r>
        <w:rPr>
          <w:rFonts w:ascii="Times New Roman" w:hAnsi="Times New Roman"/>
          <w:color w:val="000000"/>
          <w:sz w:val="24"/>
          <w:szCs w:val="24"/>
        </w:rPr>
        <w:t>во извештајниот период, особено со подготовката на Акцискиот план за Националната стратегија за земјоделс</w:t>
      </w:r>
      <w:r w:rsidR="00AB065D">
        <w:rPr>
          <w:rFonts w:ascii="Times New Roman" w:hAnsi="Times New Roman"/>
          <w:color w:val="000000"/>
          <w:sz w:val="24"/>
          <w:szCs w:val="24"/>
        </w:rPr>
        <w:t>тво</w:t>
      </w:r>
      <w:r>
        <w:rPr>
          <w:rFonts w:ascii="Times New Roman" w:hAnsi="Times New Roman"/>
          <w:color w:val="000000"/>
          <w:sz w:val="24"/>
          <w:szCs w:val="24"/>
        </w:rPr>
        <w:t xml:space="preserve"> и рурален развој за 2021-2027 година, каде што е вклучено буџетирање за помошни мерки во рамките на Националната програма за развој на земјоделството за 2023-2027 година.</w:t>
      </w:r>
    </w:p>
    <w:p w:rsidR="00C82BEE" w:rsidRPr="0031470B"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Pr>
          <w:rFonts w:ascii="Times New Roman" w:hAnsi="Times New Roman"/>
          <w:color w:val="000000"/>
          <w:sz w:val="24"/>
          <w:szCs w:val="24"/>
        </w:rPr>
        <w:t>Некои препораки од извештајот од минатата година не се целосно спроведени и продолжуваат да важат. Во наредната година, Северна Македонија особено треба:</w:t>
      </w:r>
    </w:p>
    <w:p w:rsidR="00C82BEE" w:rsidRPr="0031470B"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color w:val="000000"/>
          <w:sz w:val="24"/>
          <w:szCs w:val="24"/>
        </w:rPr>
        <w:tab/>
        <w:t xml:space="preserve">да осигури пренос на Регистарот на земјоделски стопанства и на </w:t>
      </w:r>
      <w:bookmarkStart w:id="104" w:name="_Hlk150765435"/>
      <w:r>
        <w:rPr>
          <w:rFonts w:ascii="Times New Roman" w:hAnsi="Times New Roman"/>
          <w:color w:val="000000"/>
          <w:sz w:val="24"/>
          <w:szCs w:val="24"/>
        </w:rPr>
        <w:t>Системот за идентификација на земјишни парцели (СИЗП)</w:t>
      </w:r>
      <w:bookmarkEnd w:id="104"/>
      <w:r>
        <w:rPr>
          <w:rFonts w:ascii="Times New Roman" w:hAnsi="Times New Roman"/>
          <w:color w:val="000000"/>
          <w:sz w:val="24"/>
          <w:szCs w:val="24"/>
        </w:rPr>
        <w:t xml:space="preserve"> на платежната агенција.</w:t>
      </w:r>
    </w:p>
    <w:p w:rsidR="00C82BEE" w:rsidRPr="0031470B"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color w:val="000000"/>
          <w:sz w:val="24"/>
          <w:szCs w:val="24"/>
        </w:rPr>
        <w:tab/>
        <w:t xml:space="preserve">да донесе правна рамка за дополнително усогласување со </w:t>
      </w:r>
      <w:r>
        <w:rPr>
          <w:rFonts w:ascii="Times New Roman" w:hAnsi="Times New Roman"/>
          <w:i/>
          <w:iCs/>
          <w:color w:val="000000"/>
          <w:sz w:val="24"/>
          <w:szCs w:val="24"/>
        </w:rPr>
        <w:t xml:space="preserve">правото </w:t>
      </w:r>
      <w:r w:rsidRPr="00EF10B7">
        <w:rPr>
          <w:rFonts w:ascii="Times New Roman" w:hAnsi="Times New Roman"/>
          <w:i/>
          <w:iCs/>
          <w:color w:val="000000"/>
          <w:sz w:val="24"/>
          <w:szCs w:val="24"/>
        </w:rPr>
        <w:t>на ЕУ</w:t>
      </w:r>
      <w:r>
        <w:rPr>
          <w:rFonts w:ascii="Times New Roman" w:hAnsi="Times New Roman"/>
          <w:i/>
          <w:iCs/>
          <w:color w:val="000000"/>
          <w:sz w:val="24"/>
          <w:szCs w:val="24"/>
        </w:rPr>
        <w:t xml:space="preserve"> </w:t>
      </w:r>
      <w:r>
        <w:rPr>
          <w:rFonts w:ascii="Times New Roman" w:hAnsi="Times New Roman"/>
          <w:color w:val="000000"/>
          <w:sz w:val="24"/>
          <w:szCs w:val="24"/>
        </w:rPr>
        <w:t>во однос на областите какви што се плаќањата за поддршка, организација на заедничкиот пазар и советодавните услуги за земјоделци.</w:t>
      </w:r>
    </w:p>
    <w:p w:rsidR="00C82BEE" w:rsidRPr="0031470B"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color w:val="000000"/>
          <w:sz w:val="24"/>
          <w:szCs w:val="24"/>
        </w:rPr>
        <w:tab/>
        <w:t>да ги подобри административните капацитети во оперативните структури на Инструментот за претпристапна помош за рурален развој (ИПАРД) за да се обезбеди стабилно спроведување на програмата ИПАРД III.</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однос на </w:t>
      </w:r>
      <w:r>
        <w:rPr>
          <w:rFonts w:ascii="Times New Roman" w:hAnsi="Times New Roman"/>
          <w:b/>
          <w:bCs/>
          <w:color w:val="000000"/>
          <w:sz w:val="24"/>
          <w:szCs w:val="24"/>
        </w:rPr>
        <w:t>хоризонталните прашања</w:t>
      </w:r>
      <w:r>
        <w:rPr>
          <w:rFonts w:ascii="Times New Roman" w:hAnsi="Times New Roman"/>
          <w:color w:val="000000"/>
          <w:sz w:val="24"/>
          <w:szCs w:val="24"/>
        </w:rPr>
        <w:t>, подготвен е Акциски план за Националната стратегија за земјоделс</w:t>
      </w:r>
      <w:r w:rsidR="00AB065D">
        <w:rPr>
          <w:rFonts w:ascii="Times New Roman" w:hAnsi="Times New Roman"/>
          <w:color w:val="000000"/>
          <w:sz w:val="24"/>
          <w:szCs w:val="24"/>
        </w:rPr>
        <w:t>тво</w:t>
      </w:r>
      <w:r>
        <w:rPr>
          <w:rFonts w:ascii="Times New Roman" w:hAnsi="Times New Roman"/>
          <w:color w:val="000000"/>
          <w:sz w:val="24"/>
          <w:szCs w:val="24"/>
        </w:rPr>
        <w:t xml:space="preserve"> и рурален развој за 2021-2027 (НСЗРР). Треба да се осигури Акцискиот план да биде усогласен со Зелената агенда за земјите од Западен Балкан. Финансирањето на НСЗРР е предвидено во Националната програма за земјоделс</w:t>
      </w:r>
      <w:r w:rsidR="00AB065D">
        <w:rPr>
          <w:rFonts w:ascii="Times New Roman" w:hAnsi="Times New Roman"/>
          <w:color w:val="000000"/>
          <w:sz w:val="24"/>
          <w:szCs w:val="24"/>
        </w:rPr>
        <w:t>тво</w:t>
      </w:r>
      <w:r>
        <w:rPr>
          <w:rFonts w:ascii="Times New Roman" w:hAnsi="Times New Roman"/>
          <w:color w:val="000000"/>
          <w:sz w:val="24"/>
          <w:szCs w:val="24"/>
        </w:rPr>
        <w:t xml:space="preserve"> и рурален развој за 2023-2027 година, а речиси 80 % од средствата се распределени за мерки за директна поддршка. Северна Македонија одржува политика на спроведување сложени, меѓусебно поврзани системи за директна помош за земјоделците. Новиот систем за е-аплицирање за директна поддршка, ги поедностави процесот на аплицирање и системот за контрола. Подготвен е новиот Закон за земјоделс</w:t>
      </w:r>
      <w:r w:rsidR="00AB065D">
        <w:rPr>
          <w:rFonts w:ascii="Times New Roman" w:hAnsi="Times New Roman"/>
          <w:color w:val="000000"/>
          <w:sz w:val="24"/>
          <w:szCs w:val="24"/>
        </w:rPr>
        <w:t>тво</w:t>
      </w:r>
      <w:r>
        <w:rPr>
          <w:rFonts w:ascii="Times New Roman" w:hAnsi="Times New Roman"/>
          <w:color w:val="000000"/>
          <w:sz w:val="24"/>
          <w:szCs w:val="24"/>
        </w:rPr>
        <w:t xml:space="preserve"> и рурален развој. Северна Македонија треба да ги усогласи своите национални мерки за поддршка со </w:t>
      </w:r>
      <w:r>
        <w:rPr>
          <w:rFonts w:ascii="Times New Roman" w:hAnsi="Times New Roman"/>
          <w:i/>
          <w:iCs/>
          <w:color w:val="000000"/>
          <w:sz w:val="24"/>
          <w:szCs w:val="24"/>
        </w:rPr>
        <w:t xml:space="preserve">правото </w:t>
      </w:r>
      <w:r w:rsidRPr="00EF10B7">
        <w:rPr>
          <w:rFonts w:ascii="Times New Roman" w:hAnsi="Times New Roman"/>
          <w:i/>
          <w:iCs/>
          <w:color w:val="000000"/>
          <w:sz w:val="24"/>
          <w:szCs w:val="24"/>
        </w:rPr>
        <w:t>на ЕУ</w:t>
      </w:r>
      <w:r>
        <w:rPr>
          <w:rFonts w:ascii="Times New Roman" w:hAnsi="Times New Roman"/>
          <w:color w:val="000000"/>
          <w:sz w:val="24"/>
          <w:szCs w:val="24"/>
        </w:rPr>
        <w:t>. Сè уште треба да се најдат решенија за решавање на долгорочните кадровски прашања и за обезбедување соодветни простории за платежната агенција.</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Воспоставени се сите елементи на Интегрираниот систем за администрација и контрола (ИСАК) и се во согласност со </w:t>
      </w:r>
      <w:r>
        <w:rPr>
          <w:rFonts w:ascii="Times New Roman" w:hAnsi="Times New Roman"/>
          <w:i/>
          <w:iCs/>
          <w:color w:val="000000"/>
          <w:sz w:val="24"/>
          <w:szCs w:val="24"/>
        </w:rPr>
        <w:t xml:space="preserve">правото </w:t>
      </w:r>
      <w:r w:rsidRPr="00EF10B7">
        <w:rPr>
          <w:rFonts w:ascii="Times New Roman" w:hAnsi="Times New Roman"/>
          <w:i/>
          <w:iCs/>
          <w:color w:val="000000"/>
          <w:sz w:val="24"/>
          <w:szCs w:val="24"/>
        </w:rPr>
        <w:t>на ЕУ</w:t>
      </w:r>
      <w:r>
        <w:rPr>
          <w:rFonts w:ascii="Times New Roman" w:hAnsi="Times New Roman"/>
          <w:color w:val="000000"/>
          <w:sz w:val="24"/>
          <w:szCs w:val="24"/>
        </w:rPr>
        <w:t xml:space="preserve">. Меѓутоа, треба да се подобрат преносот на податоци и интероперабилноста на разните елементи. Плаќањата според области и понатаму се одредуваат според Системот за идентификација на земјишни парцели (СИЗП). Во 2023 година треба да се набават нови ортофото мапи, како и да се завршат ажурирањата на СИЗП. Се чека да се воспостави правната рамка за пренесувањето на регистарот на земјоделци и на СИЗП на платежната агенција. Во однос на Мрежата за сметководствени податоци од земјоделски стопанства (ФАДН), изготвен е нов план за избор на репрезентативни земјоделски стопанства, со кој се обезбедува проширување на примерокот за собирање податоци. Од суштинско значење е да има дополнителни човечки и финансиски ресурси за да се обезбеди одржливост на системот ФАДН. Во тек се напори за развој на советодавните услуги за земјоделци во согласност со </w:t>
      </w:r>
      <w:r>
        <w:rPr>
          <w:rFonts w:ascii="Times New Roman" w:hAnsi="Times New Roman"/>
          <w:i/>
          <w:iCs/>
          <w:color w:val="000000"/>
          <w:sz w:val="24"/>
          <w:szCs w:val="24"/>
        </w:rPr>
        <w:t>правото</w:t>
      </w:r>
      <w:r w:rsidRPr="00EF10B7">
        <w:rPr>
          <w:rFonts w:ascii="Times New Roman" w:hAnsi="Times New Roman"/>
          <w:i/>
          <w:iCs/>
          <w:color w:val="000000"/>
          <w:sz w:val="24"/>
          <w:szCs w:val="24"/>
        </w:rPr>
        <w:t xml:space="preserve"> на ЕУ</w:t>
      </w:r>
      <w:r>
        <w:rPr>
          <w:rFonts w:ascii="Times New Roman" w:hAnsi="Times New Roman"/>
          <w:color w:val="000000"/>
          <w:sz w:val="24"/>
          <w:szCs w:val="24"/>
        </w:rPr>
        <w:t>.</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Постигнат е мал напредок во однос на дополнителното усогласување со </w:t>
      </w:r>
      <w:r>
        <w:rPr>
          <w:rFonts w:ascii="Times New Roman" w:hAnsi="Times New Roman"/>
          <w:b/>
          <w:bCs/>
          <w:color w:val="000000"/>
          <w:sz w:val="24"/>
          <w:szCs w:val="24"/>
        </w:rPr>
        <w:t>организацијата на заедничкиот пазар (ОЗП)</w:t>
      </w:r>
      <w:r w:rsidRPr="00EF10B7">
        <w:rPr>
          <w:rFonts w:ascii="Times New Roman" w:hAnsi="Times New Roman"/>
          <w:b/>
          <w:bCs/>
          <w:color w:val="000000"/>
          <w:sz w:val="24"/>
          <w:szCs w:val="24"/>
        </w:rPr>
        <w:t>.</w:t>
      </w:r>
      <w:r>
        <w:rPr>
          <w:rFonts w:ascii="Times New Roman" w:hAnsi="Times New Roman"/>
          <w:b/>
          <w:bCs/>
          <w:color w:val="000000"/>
          <w:sz w:val="24"/>
          <w:szCs w:val="24"/>
        </w:rPr>
        <w:t xml:space="preserve"> </w:t>
      </w:r>
      <w:r>
        <w:rPr>
          <w:rFonts w:ascii="Times New Roman" w:hAnsi="Times New Roman"/>
          <w:color w:val="000000"/>
          <w:sz w:val="24"/>
          <w:szCs w:val="24"/>
        </w:rPr>
        <w:t>Останува да се донесе законодавство за оваа област. И во 2023 година продолжи развојот на училишни шеми за овошје и зеленчук.</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однос на </w:t>
      </w:r>
      <w:r>
        <w:rPr>
          <w:rFonts w:ascii="Times New Roman" w:hAnsi="Times New Roman"/>
          <w:b/>
          <w:bCs/>
          <w:color w:val="000000"/>
          <w:sz w:val="24"/>
          <w:szCs w:val="24"/>
        </w:rPr>
        <w:t>руралниот развој</w:t>
      </w:r>
      <w:r>
        <w:rPr>
          <w:rFonts w:ascii="Times New Roman" w:hAnsi="Times New Roman"/>
          <w:color w:val="000000"/>
          <w:sz w:val="24"/>
          <w:szCs w:val="24"/>
        </w:rPr>
        <w:t xml:space="preserve">, постигнат е добар напредок во апсорпцијата на фондовите на ЕУ во рамките на ИПАРД II. До крајот на 2022 година, исплатите на примателите изнесуваа околу 42 милиони евра. Клучно е органите на ИПАРД да ја подобрат исплатата на средства во 2023 година за да се избегне погрешна примена на преостанатите средства од ИПАРД II и да се поддржи темелно спроведување на средствата од ИПАРД III што ги довери Европската комисија. Општо земено, треба да се зајакнат капацитетите и задржувањето на кадарот на органите на ИПАРД. Не е постигнат значителен напредок во усогласување на Националната политика за рурален развој со </w:t>
      </w:r>
      <w:r>
        <w:rPr>
          <w:rFonts w:ascii="Times New Roman" w:hAnsi="Times New Roman"/>
          <w:i/>
          <w:iCs/>
          <w:color w:val="000000"/>
          <w:sz w:val="24"/>
          <w:szCs w:val="24"/>
        </w:rPr>
        <w:t xml:space="preserve">правото </w:t>
      </w:r>
      <w:r w:rsidRPr="00EF10B7">
        <w:rPr>
          <w:rFonts w:ascii="Times New Roman" w:hAnsi="Times New Roman"/>
          <w:i/>
          <w:iCs/>
          <w:color w:val="000000"/>
          <w:sz w:val="24"/>
          <w:szCs w:val="24"/>
        </w:rPr>
        <w:t>на ЕУ</w:t>
      </w:r>
      <w:r>
        <w:rPr>
          <w:rFonts w:ascii="Times New Roman" w:hAnsi="Times New Roman"/>
          <w:color w:val="000000"/>
          <w:sz w:val="24"/>
          <w:szCs w:val="24"/>
        </w:rPr>
        <w:t>.</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однос на </w:t>
      </w:r>
      <w:r>
        <w:rPr>
          <w:rFonts w:ascii="Times New Roman" w:hAnsi="Times New Roman"/>
          <w:b/>
          <w:bCs/>
          <w:color w:val="000000"/>
          <w:sz w:val="24"/>
          <w:szCs w:val="24"/>
        </w:rPr>
        <w:t>политиката за квалитет</w:t>
      </w:r>
      <w:r>
        <w:rPr>
          <w:rFonts w:ascii="Times New Roman" w:hAnsi="Times New Roman"/>
          <w:color w:val="000000"/>
          <w:sz w:val="24"/>
          <w:szCs w:val="24"/>
        </w:rPr>
        <w:t xml:space="preserve">, има ограничен напредок во спроведувањето на шемите за квалитет, но во 2023 година имаше одреден развој на процесот на регистрација за неколку проекти. </w:t>
      </w:r>
      <w:r w:rsidR="008179E8">
        <w:rPr>
          <w:rFonts w:ascii="Times New Roman" w:hAnsi="Times New Roman"/>
          <w:color w:val="000000"/>
          <w:sz w:val="24"/>
          <w:szCs w:val="24"/>
        </w:rPr>
        <w:t>Потребно е п</w:t>
      </w:r>
      <w:r>
        <w:rPr>
          <w:rFonts w:ascii="Times New Roman" w:hAnsi="Times New Roman"/>
          <w:color w:val="000000"/>
          <w:sz w:val="24"/>
          <w:szCs w:val="24"/>
        </w:rPr>
        <w:t xml:space="preserve">равната рамка, вклучувајќи ја и онаа за алкохолни пијалаци, целосно да се усогласи со </w:t>
      </w:r>
      <w:r>
        <w:rPr>
          <w:rFonts w:ascii="Times New Roman" w:hAnsi="Times New Roman"/>
          <w:i/>
          <w:iCs/>
          <w:color w:val="000000"/>
          <w:sz w:val="24"/>
          <w:szCs w:val="24"/>
        </w:rPr>
        <w:t xml:space="preserve">правото </w:t>
      </w:r>
      <w:r w:rsidRPr="00EF10B7">
        <w:rPr>
          <w:rFonts w:ascii="Times New Roman" w:hAnsi="Times New Roman"/>
          <w:i/>
          <w:iCs/>
          <w:color w:val="000000"/>
          <w:sz w:val="24"/>
          <w:szCs w:val="24"/>
        </w:rPr>
        <w:t>на ЕУ</w:t>
      </w:r>
      <w:r>
        <w:rPr>
          <w:rFonts w:ascii="Times New Roman" w:hAnsi="Times New Roman"/>
          <w:color w:val="000000"/>
          <w:sz w:val="24"/>
          <w:szCs w:val="24"/>
        </w:rPr>
        <w:t>. Административните капацитети остануваат недоволни и покрај потенцијалот на секторот.</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однос на </w:t>
      </w:r>
      <w:r>
        <w:rPr>
          <w:rFonts w:ascii="Times New Roman" w:hAnsi="Times New Roman"/>
          <w:b/>
          <w:bCs/>
          <w:color w:val="000000"/>
          <w:sz w:val="24"/>
          <w:szCs w:val="24"/>
        </w:rPr>
        <w:t>органското земјоделство</w:t>
      </w:r>
      <w:r>
        <w:rPr>
          <w:rFonts w:ascii="Times New Roman" w:hAnsi="Times New Roman"/>
          <w:color w:val="000000"/>
          <w:sz w:val="24"/>
          <w:szCs w:val="24"/>
        </w:rPr>
        <w:t xml:space="preserve">, воспоставени се законодавството, надлежниот орган, контролните тела и системот за акредитација и сертификација. Останува да се донесе нов Закон за органско производство што ќе биде усогласен со </w:t>
      </w:r>
      <w:r>
        <w:rPr>
          <w:rFonts w:ascii="Times New Roman" w:hAnsi="Times New Roman"/>
          <w:i/>
          <w:iCs/>
          <w:color w:val="000000"/>
          <w:sz w:val="24"/>
          <w:szCs w:val="24"/>
        </w:rPr>
        <w:t xml:space="preserve">правото </w:t>
      </w:r>
      <w:r w:rsidRPr="00EF10B7">
        <w:rPr>
          <w:rFonts w:ascii="Times New Roman" w:hAnsi="Times New Roman"/>
          <w:color w:val="000000"/>
          <w:sz w:val="24"/>
          <w:szCs w:val="24"/>
        </w:rPr>
        <w:t>на ЕУ</w:t>
      </w:r>
      <w:r>
        <w:rPr>
          <w:rFonts w:ascii="Times New Roman" w:hAnsi="Times New Roman"/>
          <w:color w:val="000000"/>
          <w:sz w:val="24"/>
          <w:szCs w:val="24"/>
        </w:rPr>
        <w:t>, потребни се и активности за подобрување на следењето и на контролата на органското производство, како и интензивирање на можноста за следење на органските производи. Треба да се вложат напори за дополнителен развој на секторот преку искористување на расположливата поддршка од програмата ИПАРД III.</w:t>
      </w:r>
    </w:p>
    <w:p w:rsidR="00C82BEE" w:rsidRPr="0031470B" w:rsidRDefault="00C82BEE" w:rsidP="008D6AE4">
      <w:pPr>
        <w:pStyle w:val="Heading2"/>
      </w:pPr>
      <w:bookmarkStart w:id="105" w:name="bookmark60"/>
      <w:bookmarkStart w:id="106" w:name="_Toc150864286"/>
      <w:r>
        <w:t>П</w:t>
      </w:r>
      <w:bookmarkEnd w:id="105"/>
      <w:r>
        <w:t>оглавје 12: Безбедност на храна, ветеринарна и фитосанитарна политика</w:t>
      </w:r>
      <w:bookmarkEnd w:id="106"/>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i/>
          <w:iCs/>
          <w:color w:val="000000"/>
          <w:sz w:val="24"/>
          <w:szCs w:val="24"/>
        </w:rPr>
        <w:t>Правилата за хигиена на ЕУ за производство на прехранбени производи обезбедуваат високо ниво на безбедност на храната. Здравјето и благосостојбата на животните и безбедноста на храната од животинско потекло се заштитуваат заедно со квалитетот на семето, материјалот за заштита на растенијата, заштитата од штетни организми и исхраната на животните</w:t>
      </w:r>
      <w:r w:rsidRPr="00EF10B7">
        <w:rPr>
          <w:rFonts w:ascii="Times New Roman" w:hAnsi="Times New Roman"/>
          <w:color w:val="000000"/>
          <w:sz w:val="24"/>
          <w:szCs w:val="24"/>
        </w:rPr>
        <w:t>.</w:t>
      </w:r>
    </w:p>
    <w:p w:rsidR="00C82BEE" w:rsidRPr="0031470B"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Северна Македонија е на </w:t>
      </w:r>
      <w:r>
        <w:rPr>
          <w:rFonts w:ascii="Times New Roman" w:hAnsi="Times New Roman"/>
          <w:b/>
          <w:bCs/>
          <w:color w:val="000000"/>
          <w:sz w:val="24"/>
          <w:szCs w:val="24"/>
        </w:rPr>
        <w:t>добро ниво на подготвеност</w:t>
      </w:r>
      <w:r>
        <w:rPr>
          <w:rFonts w:ascii="Times New Roman" w:hAnsi="Times New Roman"/>
          <w:color w:val="000000"/>
          <w:sz w:val="24"/>
          <w:szCs w:val="24"/>
        </w:rPr>
        <w:t xml:space="preserve"> во областа на безбедноста на храната и ветеринарната и фитосанитарната политика. Постигнат е </w:t>
      </w:r>
      <w:r>
        <w:rPr>
          <w:rFonts w:ascii="Times New Roman" w:hAnsi="Times New Roman"/>
          <w:b/>
          <w:bCs/>
          <w:color w:val="000000"/>
          <w:sz w:val="24"/>
          <w:szCs w:val="24"/>
        </w:rPr>
        <w:t xml:space="preserve">одреден напредок </w:t>
      </w:r>
      <w:r>
        <w:rPr>
          <w:rFonts w:ascii="Times New Roman" w:hAnsi="Times New Roman"/>
          <w:color w:val="000000"/>
          <w:sz w:val="24"/>
          <w:szCs w:val="24"/>
        </w:rPr>
        <w:t>во извештајниот период, особено во контролата на болести кај животните, контролата на здравјето на растенијата и спроведувањето мерки за отстранување на штетниците, врз основа на резултатите од програмите за фитосанитарен надзор.</w:t>
      </w:r>
    </w:p>
    <w:p w:rsidR="00C82BEE" w:rsidRPr="0031470B"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Pr>
          <w:rFonts w:ascii="Times New Roman" w:hAnsi="Times New Roman"/>
          <w:color w:val="000000"/>
          <w:sz w:val="24"/>
          <w:szCs w:val="24"/>
        </w:rPr>
        <w:t>Препораките на Комисијата од минатата година не беа целосно спроведени и, затоа, продолжуваат да важат.</w:t>
      </w:r>
    </w:p>
    <w:p w:rsidR="00C82BEE" w:rsidRPr="0031470B"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Pr>
          <w:rFonts w:ascii="Times New Roman" w:hAnsi="Times New Roman"/>
          <w:color w:val="000000"/>
          <w:sz w:val="24"/>
          <w:szCs w:val="24"/>
        </w:rPr>
        <w:t>Во наредната година, Северна Македонија особено треба:</w:t>
      </w:r>
    </w:p>
    <w:p w:rsidR="00C82BEE" w:rsidRPr="0031470B"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Pr>
          <w:rFonts w:ascii="Times New Roman" w:hAnsi="Times New Roman"/>
          <w:color w:val="000000"/>
          <w:sz w:val="24"/>
          <w:szCs w:val="24"/>
        </w:rPr>
        <w:t>→ да ги донесе нацрт-законите за безбедност на храната, за службените контроли и новиот Закон за здравје на животните.</w:t>
      </w:r>
    </w:p>
    <w:p w:rsidR="00C82BEE" w:rsidRPr="0031470B"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Pr>
          <w:rFonts w:ascii="Times New Roman" w:hAnsi="Times New Roman"/>
          <w:color w:val="000000"/>
          <w:sz w:val="24"/>
          <w:szCs w:val="24"/>
        </w:rPr>
        <w:t>→ да ги зајакне капацитетите на Агенцијата за храна и ветеринарство за анализа на податоци;</w:t>
      </w:r>
    </w:p>
    <w:p w:rsidR="00C82BEE" w:rsidRPr="0031470B"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Pr>
          <w:rFonts w:ascii="Times New Roman" w:hAnsi="Times New Roman"/>
          <w:color w:val="000000"/>
          <w:sz w:val="24"/>
          <w:szCs w:val="24"/>
        </w:rPr>
        <w:t>→ да спроведе мерки за одржлива употреба на пестициди.</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однос на </w:t>
      </w:r>
      <w:r>
        <w:rPr>
          <w:rFonts w:ascii="Times New Roman" w:hAnsi="Times New Roman"/>
          <w:b/>
          <w:bCs/>
          <w:color w:val="000000"/>
          <w:sz w:val="24"/>
          <w:szCs w:val="24"/>
        </w:rPr>
        <w:t>општата безбедност на храната</w:t>
      </w:r>
      <w:r>
        <w:rPr>
          <w:rFonts w:ascii="Times New Roman" w:hAnsi="Times New Roman"/>
          <w:color w:val="000000"/>
          <w:sz w:val="24"/>
          <w:szCs w:val="24"/>
        </w:rPr>
        <w:t>, подготвени се измени на Законот за безбедност на храна, како и нов Закон за службени контроли, но допрва треба да се донесат. Националниот систем за брзо предупредување за храна и храна за животни, како и системите за внатрешна ревизија и обука на Агенцијата за храна и ветеринарство, и понатаму ефикасно работат. Агенцијата продолжи да работи во согласност со стандардите за управување со квалитет, а во 2022 година беа примени 566 жалби од потрошувачи што беа решени.</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однос на </w:t>
      </w:r>
      <w:r>
        <w:rPr>
          <w:rFonts w:ascii="Times New Roman" w:hAnsi="Times New Roman"/>
          <w:b/>
          <w:bCs/>
          <w:color w:val="000000"/>
          <w:sz w:val="24"/>
          <w:szCs w:val="24"/>
        </w:rPr>
        <w:t>ветеринарната политика</w:t>
      </w:r>
      <w:r>
        <w:rPr>
          <w:rFonts w:ascii="Times New Roman" w:hAnsi="Times New Roman"/>
          <w:color w:val="000000"/>
          <w:sz w:val="24"/>
          <w:szCs w:val="24"/>
        </w:rPr>
        <w:t>, допрва треба да се донесе нов Закон за здравје на животни, чија цел е да се усогласи со новото законодавство на ЕУ за здравје на животни. Агенцијата за храна и ветеринарство предвидува редовно ажурирање на мерките за заштита при увоз и на барањата за увоз на живи животни и производи од животинско потекло.</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Постигнат е напредок за контролните мерки за болести кај животните. Агенцијата има воспоставено програма за активен и пасивен надзор на разни болести, но собирањето, проверката и анализата на податоците и понатаму се недоволни. Агенцијата продолжи да ја спроведува програмата за следење антимикробна резистенција. Националната програма за 2023 година за контрола на резидуите од ветеринарно-медицински производи и контаминанти кај живи животни и прехранбени производи од животинско потекло е во согласност со </w:t>
      </w:r>
      <w:r>
        <w:rPr>
          <w:rFonts w:ascii="Times New Roman" w:hAnsi="Times New Roman"/>
          <w:i/>
          <w:iCs/>
          <w:color w:val="000000"/>
          <w:sz w:val="24"/>
          <w:szCs w:val="24"/>
        </w:rPr>
        <w:t>правото</w:t>
      </w:r>
      <w:r w:rsidRPr="00EF10B7">
        <w:rPr>
          <w:rFonts w:ascii="Times New Roman" w:hAnsi="Times New Roman"/>
          <w:color w:val="000000"/>
          <w:sz w:val="24"/>
          <w:szCs w:val="24"/>
        </w:rPr>
        <w:t xml:space="preserve"> на ЕУ </w:t>
      </w:r>
      <w:r>
        <w:rPr>
          <w:rFonts w:ascii="Times New Roman" w:hAnsi="Times New Roman"/>
          <w:color w:val="000000"/>
          <w:sz w:val="24"/>
          <w:szCs w:val="24"/>
        </w:rPr>
        <w:t xml:space="preserve">за говеда, овци, свињи, живина, аквакултура, млеко, јајца и мед. Новиот Закон за зоотехника е донесен во април 2023 година. Капацитетот за усогласување и за спроведување на </w:t>
      </w:r>
      <w:r>
        <w:rPr>
          <w:rFonts w:ascii="Times New Roman" w:hAnsi="Times New Roman"/>
          <w:i/>
          <w:iCs/>
          <w:color w:val="000000"/>
          <w:sz w:val="24"/>
          <w:szCs w:val="24"/>
        </w:rPr>
        <w:t>правото</w:t>
      </w:r>
      <w:r w:rsidRPr="00EF10B7">
        <w:rPr>
          <w:rFonts w:ascii="Times New Roman" w:hAnsi="Times New Roman"/>
          <w:color w:val="000000"/>
          <w:sz w:val="24"/>
          <w:szCs w:val="24"/>
        </w:rPr>
        <w:t xml:space="preserve"> на ЕУ </w:t>
      </w:r>
      <w:r>
        <w:rPr>
          <w:rFonts w:ascii="Times New Roman" w:hAnsi="Times New Roman"/>
          <w:color w:val="000000"/>
          <w:sz w:val="24"/>
          <w:szCs w:val="24"/>
        </w:rPr>
        <w:t>во областа на зоотехничките прашања и понатаму треба да се подобри.</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Постигнат е одреден напредок во </w:t>
      </w:r>
      <w:r>
        <w:rPr>
          <w:rFonts w:ascii="Times New Roman" w:hAnsi="Times New Roman"/>
          <w:b/>
          <w:bCs/>
          <w:color w:val="000000"/>
          <w:sz w:val="24"/>
          <w:szCs w:val="24"/>
        </w:rPr>
        <w:t xml:space="preserve">ставањето во промет храна, храна за животни и нуспроизводи од животинско потекло </w:t>
      </w:r>
      <w:r>
        <w:rPr>
          <w:rFonts w:ascii="Times New Roman" w:hAnsi="Times New Roman"/>
          <w:color w:val="000000"/>
          <w:sz w:val="24"/>
          <w:szCs w:val="24"/>
        </w:rPr>
        <w:t xml:space="preserve">со донесување законодавство за спроведување насочено кон усогласување со </w:t>
      </w:r>
      <w:r>
        <w:rPr>
          <w:rFonts w:ascii="Times New Roman" w:hAnsi="Times New Roman"/>
          <w:i/>
          <w:iCs/>
          <w:color w:val="000000"/>
          <w:sz w:val="24"/>
          <w:szCs w:val="24"/>
        </w:rPr>
        <w:t>правото</w:t>
      </w:r>
      <w:r w:rsidRPr="00EF10B7">
        <w:rPr>
          <w:rFonts w:ascii="Times New Roman" w:hAnsi="Times New Roman"/>
          <w:color w:val="000000"/>
          <w:sz w:val="24"/>
          <w:szCs w:val="24"/>
        </w:rPr>
        <w:t xml:space="preserve"> на ЕУ</w:t>
      </w:r>
      <w:r w:rsidRPr="00F153DE">
        <w:rPr>
          <w:rFonts w:ascii="Times New Roman" w:hAnsi="Times New Roman"/>
          <w:color w:val="000000"/>
          <w:sz w:val="24"/>
          <w:szCs w:val="24"/>
        </w:rPr>
        <w:t>.</w:t>
      </w:r>
      <w:r>
        <w:rPr>
          <w:rFonts w:ascii="Times New Roman" w:hAnsi="Times New Roman"/>
          <w:color w:val="000000"/>
          <w:sz w:val="24"/>
          <w:szCs w:val="24"/>
        </w:rPr>
        <w:t xml:space="preserve"> Донесен е ревидираниот Закон за нуспроизводи од животинско потекло.</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Постигнат е и одреден напредок во однос на </w:t>
      </w:r>
      <w:r>
        <w:rPr>
          <w:rFonts w:ascii="Times New Roman" w:hAnsi="Times New Roman"/>
          <w:b/>
          <w:bCs/>
          <w:color w:val="000000"/>
          <w:sz w:val="24"/>
          <w:szCs w:val="24"/>
        </w:rPr>
        <w:t>правилата за безбедност на храната</w:t>
      </w:r>
      <w:r>
        <w:rPr>
          <w:rFonts w:ascii="Times New Roman" w:hAnsi="Times New Roman"/>
          <w:color w:val="000000"/>
          <w:sz w:val="24"/>
          <w:szCs w:val="24"/>
        </w:rPr>
        <w:t xml:space="preserve">. Законодавството беше изменето во декември 2022 година за да се усогласи со </w:t>
      </w:r>
      <w:r>
        <w:rPr>
          <w:rFonts w:ascii="Times New Roman" w:hAnsi="Times New Roman"/>
          <w:i/>
          <w:iCs/>
          <w:color w:val="000000"/>
          <w:sz w:val="24"/>
          <w:szCs w:val="24"/>
        </w:rPr>
        <w:t xml:space="preserve">правото </w:t>
      </w:r>
      <w:r w:rsidRPr="00EF10B7">
        <w:rPr>
          <w:rFonts w:ascii="Times New Roman" w:hAnsi="Times New Roman"/>
          <w:color w:val="000000"/>
          <w:sz w:val="24"/>
          <w:szCs w:val="24"/>
        </w:rPr>
        <w:t>на ЕУ</w:t>
      </w:r>
      <w:r>
        <w:rPr>
          <w:rFonts w:ascii="Times New Roman" w:hAnsi="Times New Roman"/>
          <w:i/>
          <w:iCs/>
          <w:color w:val="000000"/>
          <w:sz w:val="24"/>
          <w:szCs w:val="24"/>
        </w:rPr>
        <w:t xml:space="preserve"> </w:t>
      </w:r>
      <w:r>
        <w:rPr>
          <w:rFonts w:ascii="Times New Roman" w:hAnsi="Times New Roman"/>
          <w:color w:val="000000"/>
          <w:sz w:val="24"/>
          <w:szCs w:val="24"/>
        </w:rPr>
        <w:t>во однос на одредени барања за микробиолошки критериуми за храна. Агенцијата продолжи да спроведува програма за следење на безбедноста на храната, но податоците дополнително ќе се анализираат.</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однос на </w:t>
      </w:r>
      <w:r>
        <w:rPr>
          <w:rFonts w:ascii="Times New Roman" w:hAnsi="Times New Roman"/>
          <w:b/>
          <w:bCs/>
          <w:color w:val="000000"/>
          <w:sz w:val="24"/>
          <w:szCs w:val="24"/>
        </w:rPr>
        <w:t>специфичните правила за добиточна храна</w:t>
      </w:r>
      <w:r>
        <w:rPr>
          <w:rFonts w:ascii="Times New Roman" w:hAnsi="Times New Roman"/>
          <w:color w:val="000000"/>
          <w:sz w:val="24"/>
          <w:szCs w:val="24"/>
        </w:rPr>
        <w:t>, законодавството беше усогласено со барањата на ЕУ за обработени протеини, како и со постапките за земање мостри и лабораториско тестирање. Агенцијата продолжи да спроведува програма за следење на безбедноста на добиточната храна и</w:t>
      </w:r>
      <w:r w:rsidR="008179E8">
        <w:rPr>
          <w:rFonts w:ascii="Times New Roman" w:hAnsi="Times New Roman"/>
          <w:color w:val="000000"/>
          <w:sz w:val="24"/>
          <w:szCs w:val="24"/>
        </w:rPr>
        <w:t xml:space="preserve"> </w:t>
      </w:r>
      <w:r>
        <w:rPr>
          <w:rFonts w:ascii="Times New Roman" w:hAnsi="Times New Roman"/>
          <w:color w:val="000000"/>
          <w:sz w:val="24"/>
          <w:szCs w:val="24"/>
        </w:rPr>
        <w:t>собра 90% од планираните 500 мостри добиточна храна.</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Постигнат е одреден напредок во областа на </w:t>
      </w:r>
      <w:r>
        <w:rPr>
          <w:rFonts w:ascii="Times New Roman" w:hAnsi="Times New Roman"/>
          <w:b/>
          <w:bCs/>
          <w:color w:val="000000"/>
          <w:sz w:val="24"/>
          <w:szCs w:val="24"/>
        </w:rPr>
        <w:t>фитосанитарната политика</w:t>
      </w:r>
      <w:r>
        <w:rPr>
          <w:rFonts w:ascii="Times New Roman" w:hAnsi="Times New Roman"/>
          <w:color w:val="000000"/>
          <w:sz w:val="24"/>
          <w:szCs w:val="24"/>
        </w:rPr>
        <w:t xml:space="preserve">. Фитосанитарната управа редовно го ажурира списокот на штетни организми во согласност со новото </w:t>
      </w:r>
      <w:r>
        <w:rPr>
          <w:rFonts w:ascii="Times New Roman" w:hAnsi="Times New Roman"/>
          <w:i/>
          <w:iCs/>
          <w:color w:val="000000"/>
          <w:sz w:val="24"/>
          <w:szCs w:val="24"/>
        </w:rPr>
        <w:t xml:space="preserve">право </w:t>
      </w:r>
      <w:r w:rsidRPr="00EF10B7">
        <w:rPr>
          <w:rFonts w:ascii="Times New Roman" w:hAnsi="Times New Roman"/>
          <w:color w:val="000000"/>
          <w:sz w:val="24"/>
          <w:szCs w:val="24"/>
        </w:rPr>
        <w:t>на ЕУ</w:t>
      </w:r>
      <w:r>
        <w:rPr>
          <w:rFonts w:ascii="Times New Roman" w:hAnsi="Times New Roman"/>
          <w:i/>
          <w:iCs/>
          <w:color w:val="000000"/>
          <w:sz w:val="24"/>
          <w:szCs w:val="24"/>
        </w:rPr>
        <w:t xml:space="preserve"> </w:t>
      </w:r>
      <w:r>
        <w:rPr>
          <w:rFonts w:ascii="Times New Roman" w:hAnsi="Times New Roman"/>
          <w:color w:val="000000"/>
          <w:sz w:val="24"/>
          <w:szCs w:val="24"/>
        </w:rPr>
        <w:t xml:space="preserve">и статусот на штетници во земјата. Беше спроведена програмата за фитосанитарно следење на здравјето на растенијата, а системот за фитосанитарно информирање дополнително е развиен. Законот за фитофармација е усогласен со </w:t>
      </w:r>
      <w:r>
        <w:rPr>
          <w:rFonts w:ascii="Times New Roman" w:hAnsi="Times New Roman"/>
          <w:i/>
          <w:iCs/>
          <w:color w:val="000000"/>
          <w:sz w:val="24"/>
          <w:szCs w:val="24"/>
        </w:rPr>
        <w:t>правото</w:t>
      </w:r>
      <w:r w:rsidRPr="00EF10B7">
        <w:rPr>
          <w:rFonts w:ascii="Times New Roman" w:hAnsi="Times New Roman"/>
          <w:color w:val="000000"/>
          <w:sz w:val="24"/>
          <w:szCs w:val="24"/>
        </w:rPr>
        <w:t xml:space="preserve"> на ЕУ</w:t>
      </w:r>
      <w:r>
        <w:rPr>
          <w:rFonts w:ascii="Times New Roman" w:hAnsi="Times New Roman"/>
          <w:color w:val="000000"/>
          <w:sz w:val="24"/>
          <w:szCs w:val="24"/>
        </w:rPr>
        <w:t>. Меѓутоа, мерките за одржлива употреба на пестициди не се спроведени. И понатаму треба значително да се работи за да се соберат веродостојни податоци за националната употреба на пестицидите и влијанието врз здравјето на луѓето. Органот за фитосанитарна инспекција продолжува да спроведува мерки за отстранување на штетниците идентификувани преку програмите за следење и контрола.</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Законот за </w:t>
      </w:r>
      <w:r>
        <w:rPr>
          <w:rFonts w:ascii="Times New Roman" w:hAnsi="Times New Roman"/>
          <w:b/>
          <w:bCs/>
          <w:color w:val="000000"/>
          <w:sz w:val="24"/>
          <w:szCs w:val="24"/>
        </w:rPr>
        <w:t xml:space="preserve">генетски модифицирани организми </w:t>
      </w:r>
      <w:r>
        <w:rPr>
          <w:rFonts w:ascii="Times New Roman" w:hAnsi="Times New Roman"/>
          <w:color w:val="000000"/>
          <w:sz w:val="24"/>
          <w:szCs w:val="24"/>
        </w:rPr>
        <w:t xml:space="preserve">е усогласен со </w:t>
      </w:r>
      <w:r>
        <w:rPr>
          <w:rFonts w:ascii="Times New Roman" w:hAnsi="Times New Roman"/>
          <w:i/>
          <w:iCs/>
          <w:color w:val="000000"/>
          <w:sz w:val="24"/>
          <w:szCs w:val="24"/>
        </w:rPr>
        <w:t>правото</w:t>
      </w:r>
      <w:r w:rsidRPr="00EF10B7">
        <w:rPr>
          <w:rFonts w:ascii="Times New Roman" w:hAnsi="Times New Roman"/>
          <w:color w:val="000000"/>
          <w:sz w:val="24"/>
          <w:szCs w:val="24"/>
        </w:rPr>
        <w:t xml:space="preserve"> на ЕУ</w:t>
      </w:r>
      <w:r>
        <w:rPr>
          <w:rFonts w:ascii="Times New Roman" w:hAnsi="Times New Roman"/>
          <w:color w:val="000000"/>
          <w:sz w:val="24"/>
          <w:szCs w:val="24"/>
        </w:rPr>
        <w:t>.</w:t>
      </w:r>
    </w:p>
    <w:p w:rsidR="00C82BEE" w:rsidRPr="0031470B" w:rsidRDefault="00C82BEE" w:rsidP="008D6AE4">
      <w:pPr>
        <w:pStyle w:val="Heading2"/>
      </w:pPr>
      <w:bookmarkStart w:id="107" w:name="bookmark61"/>
      <w:bookmarkStart w:id="108" w:name="_Toc150864287"/>
      <w:r>
        <w:t>П</w:t>
      </w:r>
      <w:bookmarkEnd w:id="107"/>
      <w:r>
        <w:t>оглавје 13: Рибарство и аквакултура</w:t>
      </w:r>
      <w:bookmarkEnd w:id="108"/>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i/>
          <w:iCs/>
          <w:color w:val="000000"/>
          <w:sz w:val="24"/>
          <w:szCs w:val="24"/>
        </w:rPr>
        <w:t>Со заедничката политика за рибарство се утврдуваат правила за управување со риболов, се заштитуваат живите ресурси на морето и се ограничува влијанието на животната средина врз рибарството. Ова вклучува поставување квоти на улови, управување со капацитетот на флотата, правила за контрола и за инспекција, правила за пазарите и за аквакултура, како и поддршка за рибарството и за крајбрежните заедници. Понатаму, промовира одржлива аквакултура.</w:t>
      </w:r>
    </w:p>
    <w:p w:rsidR="00C82BEE" w:rsidRPr="0031470B"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областа на рибарството и аквакултурата, Северна Македонија е </w:t>
      </w:r>
      <w:r>
        <w:rPr>
          <w:rFonts w:ascii="Times New Roman" w:hAnsi="Times New Roman"/>
          <w:b/>
          <w:bCs/>
          <w:color w:val="000000"/>
          <w:sz w:val="24"/>
          <w:szCs w:val="24"/>
        </w:rPr>
        <w:t>умерено подготвена</w:t>
      </w:r>
      <w:r>
        <w:rPr>
          <w:rFonts w:ascii="Times New Roman" w:hAnsi="Times New Roman"/>
          <w:color w:val="000000"/>
          <w:sz w:val="24"/>
          <w:szCs w:val="24"/>
        </w:rPr>
        <w:t xml:space="preserve">. Во извештајниот период е остварен </w:t>
      </w:r>
      <w:r>
        <w:rPr>
          <w:rFonts w:ascii="Times New Roman" w:hAnsi="Times New Roman"/>
          <w:b/>
          <w:bCs/>
          <w:color w:val="000000"/>
          <w:sz w:val="24"/>
          <w:szCs w:val="24"/>
        </w:rPr>
        <w:t xml:space="preserve">одреден напредок </w:t>
      </w:r>
      <w:r>
        <w:rPr>
          <w:rFonts w:ascii="Times New Roman" w:hAnsi="Times New Roman"/>
          <w:color w:val="000000"/>
          <w:sz w:val="24"/>
          <w:szCs w:val="24"/>
        </w:rPr>
        <w:t xml:space="preserve">во однос на усогласувањето со пазарните стандарди, структурните мерки и државната помош со </w:t>
      </w:r>
      <w:r>
        <w:rPr>
          <w:rFonts w:ascii="Times New Roman" w:hAnsi="Times New Roman"/>
          <w:i/>
          <w:iCs/>
          <w:color w:val="000000"/>
          <w:sz w:val="24"/>
          <w:szCs w:val="24"/>
        </w:rPr>
        <w:t>правото на ЕУ</w:t>
      </w:r>
      <w:r>
        <w:rPr>
          <w:rFonts w:ascii="Times New Roman" w:hAnsi="Times New Roman"/>
          <w:color w:val="000000"/>
          <w:sz w:val="24"/>
          <w:szCs w:val="24"/>
        </w:rPr>
        <w:t>.</w:t>
      </w:r>
    </w:p>
    <w:p w:rsidR="00C82BEE" w:rsidRPr="0031470B"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Pr>
          <w:rFonts w:ascii="Times New Roman" w:hAnsi="Times New Roman"/>
          <w:color w:val="000000"/>
          <w:sz w:val="24"/>
          <w:szCs w:val="24"/>
        </w:rPr>
        <w:t>Некои препораки од извештајот од минатата година не се целосно спроведени. Во наредната година, Северна Македонија особено треба:</w:t>
      </w:r>
    </w:p>
    <w:p w:rsidR="00C82BEE" w:rsidRPr="0031470B"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color w:val="000000"/>
          <w:sz w:val="24"/>
          <w:szCs w:val="24"/>
        </w:rPr>
        <w:tab/>
        <w:t>да го донесе Законот за рибарство и аквакултура и законодавството за спроведување на пазарните стандарди, информациите за потрошувачите, можноста за следење и организациите на производителот, како и националната стратегија за аквакултура;</w:t>
      </w:r>
    </w:p>
    <w:p w:rsidR="00C82BEE" w:rsidRPr="0031470B"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color w:val="000000"/>
          <w:sz w:val="24"/>
          <w:szCs w:val="24"/>
        </w:rPr>
        <w:tab/>
        <w:t>да го подобри системот за собирање податоци и пријавување, како, на пример, да воспостави рамка за собирање податоци за рибарство и аквакултура, да ги интегрира сите извори на податоци и анализи;</w:t>
      </w:r>
    </w:p>
    <w:p w:rsidR="00C82BEE" w:rsidRPr="0031470B"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color w:val="000000"/>
          <w:sz w:val="24"/>
          <w:szCs w:val="24"/>
        </w:rPr>
        <w:tab/>
        <w:t>да постави повеќегодишни програми за структурни мерки.</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Бидејќи Северна Македонија има само внатрешен риболов во езера и аквакултура, голем дел од </w:t>
      </w:r>
      <w:r>
        <w:rPr>
          <w:rFonts w:ascii="Times New Roman" w:hAnsi="Times New Roman"/>
          <w:i/>
          <w:iCs/>
          <w:color w:val="000000"/>
          <w:sz w:val="24"/>
          <w:szCs w:val="24"/>
        </w:rPr>
        <w:t xml:space="preserve">правото </w:t>
      </w:r>
      <w:r w:rsidRPr="00EF10B7">
        <w:rPr>
          <w:rFonts w:ascii="Times New Roman" w:hAnsi="Times New Roman"/>
          <w:color w:val="000000"/>
          <w:sz w:val="24"/>
          <w:szCs w:val="24"/>
        </w:rPr>
        <w:t>на ЕУ</w:t>
      </w:r>
      <w:r>
        <w:rPr>
          <w:rFonts w:ascii="Times New Roman" w:hAnsi="Times New Roman"/>
          <w:i/>
          <w:iCs/>
          <w:color w:val="000000"/>
          <w:sz w:val="24"/>
          <w:szCs w:val="24"/>
        </w:rPr>
        <w:t xml:space="preserve"> </w:t>
      </w:r>
      <w:r>
        <w:rPr>
          <w:rFonts w:ascii="Times New Roman" w:hAnsi="Times New Roman"/>
          <w:color w:val="000000"/>
          <w:sz w:val="24"/>
          <w:szCs w:val="24"/>
        </w:rPr>
        <w:t>за рибарство не е применлив. Постигнат е напредок во однос на усогласување со правната рамка преку подготовката на нов Закон за рибарство и аквакултура. Допрва треба да се донесе нов Закон за рибарство и аквакултура што ќе ги вклучува релевантните одредби на ЕУ за пазарни стандарди, структурна поддршка и државна помош. Се чека донесувањето на повеќегодишната национална стратегија наменета за аквакултура.</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Поставена е институционалната рамка за политика за рибарство, инспекции и контрола, но и понатаму има недоволно административни капацитети за </w:t>
      </w:r>
      <w:r>
        <w:rPr>
          <w:rFonts w:ascii="Times New Roman" w:hAnsi="Times New Roman"/>
          <w:b/>
          <w:bCs/>
          <w:color w:val="000000"/>
          <w:sz w:val="24"/>
          <w:szCs w:val="24"/>
        </w:rPr>
        <w:t>управување со ресурсите и со возниот парк,</w:t>
      </w:r>
      <w:r>
        <w:rPr>
          <w:rFonts w:ascii="Times New Roman" w:hAnsi="Times New Roman"/>
          <w:color w:val="000000"/>
          <w:sz w:val="24"/>
          <w:szCs w:val="24"/>
        </w:rPr>
        <w:t xml:space="preserve"> како и за </w:t>
      </w:r>
      <w:r>
        <w:rPr>
          <w:rFonts w:ascii="Times New Roman" w:hAnsi="Times New Roman"/>
          <w:b/>
          <w:bCs/>
          <w:color w:val="000000"/>
          <w:sz w:val="24"/>
          <w:szCs w:val="24"/>
        </w:rPr>
        <w:t>инспекции и контрола</w:t>
      </w:r>
      <w:r w:rsidRPr="00EF10B7">
        <w:rPr>
          <w:rFonts w:ascii="Times New Roman" w:hAnsi="Times New Roman"/>
          <w:color w:val="000000"/>
          <w:sz w:val="24"/>
          <w:szCs w:val="24"/>
        </w:rPr>
        <w:t>,</w:t>
      </w:r>
      <w:r>
        <w:rPr>
          <w:rFonts w:ascii="Times New Roman" w:hAnsi="Times New Roman"/>
          <w:b/>
          <w:bCs/>
          <w:color w:val="000000"/>
          <w:sz w:val="24"/>
          <w:szCs w:val="24"/>
        </w:rPr>
        <w:t xml:space="preserve"> </w:t>
      </w:r>
      <w:r>
        <w:rPr>
          <w:rFonts w:ascii="Times New Roman" w:hAnsi="Times New Roman"/>
          <w:color w:val="000000"/>
          <w:sz w:val="24"/>
          <w:szCs w:val="24"/>
        </w:rPr>
        <w:t xml:space="preserve">иако </w:t>
      </w:r>
      <w:r>
        <w:rPr>
          <w:rFonts w:ascii="Times New Roman" w:hAnsi="Times New Roman"/>
          <w:i/>
          <w:iCs/>
          <w:color w:val="000000"/>
          <w:sz w:val="24"/>
          <w:szCs w:val="24"/>
        </w:rPr>
        <w:t xml:space="preserve">правото на ЕУ </w:t>
      </w:r>
      <w:r>
        <w:rPr>
          <w:rFonts w:ascii="Times New Roman" w:hAnsi="Times New Roman"/>
          <w:color w:val="000000"/>
          <w:sz w:val="24"/>
          <w:szCs w:val="24"/>
        </w:rPr>
        <w:t xml:space="preserve">во однос на квотите на улови, инспекциите и контролата е само делумно применливо поради непостоењето на крајбрежје во земјата. Единицата за рибарство и аквакултура при Министерството за земјоделство не е доволно екипирана. Постигнат е одреден напредок во градењето капацитети преку интензивни обуки. Меѓутоа, човечките ресурси за управување со рибарството и контрола на </w:t>
      </w:r>
      <w:r w:rsidRPr="00C9671E">
        <w:rPr>
          <w:rFonts w:ascii="Times New Roman" w:hAnsi="Times New Roman"/>
          <w:sz w:val="24"/>
          <w:szCs w:val="24"/>
        </w:rPr>
        <w:t xml:space="preserve">нелегален, непријавен и нерегулиран риболов (ННН) </w:t>
      </w:r>
      <w:r>
        <w:rPr>
          <w:rFonts w:ascii="Times New Roman" w:hAnsi="Times New Roman"/>
          <w:color w:val="000000"/>
          <w:sz w:val="24"/>
          <w:szCs w:val="24"/>
        </w:rPr>
        <w:t>треба дополнително да се подобрат во согласност со барањата на ЕУ.</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Северна Македонија треба да спроведе активности за да ја подигне јавната свест за нелегалниот, непријавен и нерегулиран риболов и правните последици од него. Треба да се посвети особено внимание на спречувањето нелегален риболов на заштитените видови и на европската јагула.</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Годишниот буџет за </w:t>
      </w:r>
      <w:r>
        <w:rPr>
          <w:rFonts w:ascii="Times New Roman" w:hAnsi="Times New Roman"/>
          <w:b/>
          <w:bCs/>
          <w:color w:val="000000"/>
          <w:sz w:val="24"/>
          <w:szCs w:val="24"/>
        </w:rPr>
        <w:t xml:space="preserve">структурни мерки </w:t>
      </w:r>
      <w:r w:rsidRPr="0041357E">
        <w:rPr>
          <w:rFonts w:ascii="Times New Roman" w:hAnsi="Times New Roman"/>
          <w:color w:val="000000"/>
          <w:sz w:val="24"/>
          <w:szCs w:val="24"/>
        </w:rPr>
        <w:t>н</w:t>
      </w:r>
      <w:r>
        <w:rPr>
          <w:rFonts w:ascii="Times New Roman" w:hAnsi="Times New Roman"/>
          <w:color w:val="000000"/>
          <w:sz w:val="24"/>
          <w:szCs w:val="24"/>
        </w:rPr>
        <w:t xml:space="preserve">е е доволен за развивање на аквакултурата и за обновување на рибниот фонд. Владата треба да ја зголеми структурната поддршка и да подготви повеќегодишна финансиска и политичка програма за да одговори на потребите на секторот. Системот за собирање податоци за риболов и аквакултура треба и понатаму да се развива во согласност со </w:t>
      </w:r>
      <w:r>
        <w:rPr>
          <w:rFonts w:ascii="Times New Roman" w:hAnsi="Times New Roman"/>
          <w:i/>
          <w:iCs/>
          <w:color w:val="000000"/>
          <w:sz w:val="24"/>
          <w:szCs w:val="24"/>
        </w:rPr>
        <w:t>правото</w:t>
      </w:r>
      <w:r w:rsidRPr="0041357E">
        <w:rPr>
          <w:rFonts w:ascii="Times New Roman" w:hAnsi="Times New Roman"/>
          <w:color w:val="000000"/>
          <w:sz w:val="24"/>
          <w:szCs w:val="24"/>
        </w:rPr>
        <w:t xml:space="preserve"> на ЕУ</w:t>
      </w:r>
      <w:r>
        <w:rPr>
          <w:rFonts w:ascii="Times New Roman" w:hAnsi="Times New Roman"/>
          <w:color w:val="000000"/>
          <w:sz w:val="24"/>
          <w:szCs w:val="24"/>
        </w:rPr>
        <w:t>. Треба да се подобри меѓуинституционалната координација со надлежните органи за животна средина.</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Останува да се постигне </w:t>
      </w:r>
      <w:r>
        <w:rPr>
          <w:rFonts w:ascii="Times New Roman" w:hAnsi="Times New Roman"/>
          <w:b/>
          <w:bCs/>
          <w:color w:val="000000"/>
          <w:sz w:val="24"/>
          <w:szCs w:val="24"/>
        </w:rPr>
        <w:t>усогласување на пазарната политика, на структурната поддршка</w:t>
      </w:r>
      <w:r>
        <w:rPr>
          <w:rFonts w:ascii="Times New Roman" w:hAnsi="Times New Roman"/>
          <w:color w:val="000000"/>
          <w:sz w:val="24"/>
          <w:szCs w:val="24"/>
        </w:rPr>
        <w:t xml:space="preserve"> </w:t>
      </w:r>
      <w:r w:rsidRPr="0041357E">
        <w:rPr>
          <w:rFonts w:ascii="Times New Roman" w:hAnsi="Times New Roman"/>
          <w:b/>
          <w:bCs/>
          <w:color w:val="000000"/>
          <w:sz w:val="24"/>
          <w:szCs w:val="24"/>
        </w:rPr>
        <w:t xml:space="preserve">и на </w:t>
      </w:r>
      <w:r>
        <w:rPr>
          <w:rFonts w:ascii="Times New Roman" w:hAnsi="Times New Roman"/>
          <w:b/>
          <w:bCs/>
          <w:color w:val="000000"/>
          <w:sz w:val="24"/>
          <w:szCs w:val="24"/>
        </w:rPr>
        <w:t>државната помош</w:t>
      </w:r>
      <w:r w:rsidRPr="0041357E">
        <w:rPr>
          <w:rFonts w:ascii="Times New Roman" w:hAnsi="Times New Roman"/>
          <w:color w:val="000000"/>
          <w:sz w:val="24"/>
          <w:szCs w:val="24"/>
        </w:rPr>
        <w:t>,</w:t>
      </w:r>
      <w:r>
        <w:rPr>
          <w:rFonts w:ascii="Times New Roman" w:hAnsi="Times New Roman"/>
          <w:b/>
          <w:bCs/>
          <w:color w:val="000000"/>
          <w:sz w:val="24"/>
          <w:szCs w:val="24"/>
        </w:rPr>
        <w:t xml:space="preserve"> </w:t>
      </w:r>
      <w:r>
        <w:rPr>
          <w:rFonts w:ascii="Times New Roman" w:hAnsi="Times New Roman"/>
          <w:color w:val="000000"/>
          <w:sz w:val="24"/>
          <w:szCs w:val="24"/>
        </w:rPr>
        <w:t>како и усогласување со Регулативата на ЕУ за јагулите поради претстојното донесување на новиот Закон за рибарство и аквакултура.</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2022 година немаше состаноци за соработка </w:t>
      </w:r>
      <w:r w:rsidR="008179E8">
        <w:rPr>
          <w:rFonts w:ascii="Times New Roman" w:hAnsi="Times New Roman"/>
          <w:color w:val="000000"/>
          <w:sz w:val="24"/>
          <w:szCs w:val="24"/>
        </w:rPr>
        <w:t xml:space="preserve">во однос на </w:t>
      </w:r>
      <w:r>
        <w:rPr>
          <w:rFonts w:ascii="Times New Roman" w:hAnsi="Times New Roman"/>
          <w:b/>
          <w:bCs/>
          <w:color w:val="000000"/>
          <w:sz w:val="24"/>
          <w:szCs w:val="24"/>
        </w:rPr>
        <w:t xml:space="preserve">меѓународните договори </w:t>
      </w:r>
      <w:r>
        <w:rPr>
          <w:rFonts w:ascii="Times New Roman" w:hAnsi="Times New Roman"/>
          <w:color w:val="000000"/>
          <w:sz w:val="24"/>
          <w:szCs w:val="24"/>
        </w:rPr>
        <w:t>за управување со рибарството во прекуграничните езера. Грција и Северна Македонија применуваа редовна синхронизирана забрана за рибарство во Дојранското Езеро секоја година. Во јуни 2023 година се одржаа состаноци за соработка со Албанија во однос на управувањето со рибниот фонд во Охридското Езеро.</w:t>
      </w:r>
    </w:p>
    <w:p w:rsidR="00C82BEE" w:rsidRPr="0031470B" w:rsidRDefault="00C82BEE" w:rsidP="008D6AE4">
      <w:pPr>
        <w:pStyle w:val="Heading2"/>
      </w:pPr>
      <w:bookmarkStart w:id="109" w:name="bookmark62"/>
      <w:bookmarkStart w:id="110" w:name="_Toc150864288"/>
      <w:r>
        <w:t>П</w:t>
      </w:r>
      <w:bookmarkEnd w:id="109"/>
      <w:r>
        <w:t>оглавје 22: Регионална политика и координација на структурни инструменти</w:t>
      </w:r>
      <w:bookmarkEnd w:id="110"/>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i/>
          <w:iCs/>
          <w:color w:val="000000"/>
          <w:sz w:val="24"/>
          <w:szCs w:val="24"/>
        </w:rPr>
        <w:t>Регионалната политика е главната алатка на ЕУ за намалување на регионалните диспаритети и за инвестирање во одржлив и инклузивен социо-економски развој. Таа функционира преку „споделено ракување“ од страна на Комисијата и земјите членки на ЕУ. Спроведувањето на програмите за кохезиона политика подразбира соодветни административни капацитети на програмско и на проектно ниво, воспоставување систем за добро финансиско управување и контрола, како и исполнување на другите елементи на правото на ЕУ, какви што се законодавството за животна средина и законодавството за јавни набавки.</w:t>
      </w:r>
    </w:p>
    <w:p w:rsidR="00C82BEE" w:rsidRPr="0031470B"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Земјата е </w:t>
      </w:r>
      <w:r>
        <w:rPr>
          <w:rFonts w:ascii="Times New Roman" w:hAnsi="Times New Roman"/>
          <w:b/>
          <w:bCs/>
          <w:color w:val="000000"/>
          <w:sz w:val="24"/>
          <w:szCs w:val="24"/>
        </w:rPr>
        <w:t xml:space="preserve">умерено подготвена </w:t>
      </w:r>
      <w:r>
        <w:rPr>
          <w:rFonts w:ascii="Times New Roman" w:hAnsi="Times New Roman"/>
          <w:color w:val="000000"/>
          <w:sz w:val="24"/>
          <w:szCs w:val="24"/>
        </w:rPr>
        <w:t xml:space="preserve">во областа на регионалната политика и координација на структурните инструменти. </w:t>
      </w:r>
      <w:r>
        <w:rPr>
          <w:rFonts w:ascii="Times New Roman" w:hAnsi="Times New Roman"/>
          <w:b/>
          <w:bCs/>
          <w:color w:val="000000"/>
          <w:sz w:val="24"/>
          <w:szCs w:val="24"/>
        </w:rPr>
        <w:t xml:space="preserve">Не е постигнат напредок </w:t>
      </w:r>
      <w:r>
        <w:rPr>
          <w:rFonts w:ascii="Times New Roman" w:hAnsi="Times New Roman"/>
          <w:color w:val="000000"/>
          <w:sz w:val="24"/>
          <w:szCs w:val="24"/>
        </w:rPr>
        <w:t>во извештајниот период.</w:t>
      </w:r>
    </w:p>
    <w:p w:rsidR="00C82BEE" w:rsidRPr="0031470B"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Pr>
          <w:rFonts w:ascii="Times New Roman" w:hAnsi="Times New Roman"/>
          <w:color w:val="000000"/>
          <w:sz w:val="24"/>
          <w:szCs w:val="24"/>
        </w:rPr>
        <w:t>Затоа, препораките од минатата година продолжуваат да важат. Во претстојната година, земјата треба:</w:t>
      </w:r>
    </w:p>
    <w:p w:rsidR="00C82BEE" w:rsidRPr="0031470B"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color w:val="000000"/>
          <w:sz w:val="24"/>
          <w:szCs w:val="24"/>
        </w:rPr>
        <w:tab/>
        <w:t>да го надгради својот институционален, административен и технички капацитет за управување со фондовите на ЕУ со донесување општа политиката за задржување на вработените, зајакнување на капацитетите, подобрување на спроведувањето на препораките од ЕУ и од ревизијата, усогласување на системите за управување и контрола со барањата на Инструментот за претпристапна помош (ИПА) III;</w:t>
      </w:r>
    </w:p>
    <w:p w:rsidR="00C82BEE" w:rsidRPr="0031470B"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color w:val="000000"/>
          <w:sz w:val="24"/>
          <w:szCs w:val="24"/>
        </w:rPr>
        <w:tab/>
        <w:t>итно да ја зајакне инвестициската политика со рационализирање на инвестициското портфолио врз основа на сигурна, транспарентна и инклузивна методологија, јасни одговорности на засегнатите страни и остварлива рамка за јавно-приватно партнерство;</w:t>
      </w:r>
    </w:p>
    <w:p w:rsidR="00C82BEE" w:rsidRPr="0031470B"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color w:val="000000"/>
          <w:sz w:val="24"/>
          <w:szCs w:val="24"/>
        </w:rPr>
        <w:tab/>
        <w:t>да го зајакне процесот на децентрализација преку веродостојни финансиски рамки за општините и да го засили политичкиот дијалог за регионален развој.</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Не е постигнат напредок во однос на </w:t>
      </w:r>
      <w:r>
        <w:rPr>
          <w:rFonts w:ascii="Times New Roman" w:hAnsi="Times New Roman"/>
          <w:b/>
          <w:bCs/>
          <w:color w:val="000000"/>
          <w:sz w:val="24"/>
          <w:szCs w:val="24"/>
        </w:rPr>
        <w:t>правната рамка</w:t>
      </w:r>
      <w:r>
        <w:rPr>
          <w:rFonts w:ascii="Times New Roman" w:hAnsi="Times New Roman"/>
          <w:color w:val="000000"/>
          <w:sz w:val="24"/>
          <w:szCs w:val="24"/>
        </w:rPr>
        <w:t xml:space="preserve">, но основните начела остануваат главно усогласени со </w:t>
      </w:r>
      <w:r>
        <w:rPr>
          <w:rFonts w:ascii="Times New Roman" w:hAnsi="Times New Roman"/>
          <w:i/>
          <w:iCs/>
          <w:color w:val="000000"/>
          <w:sz w:val="24"/>
          <w:szCs w:val="24"/>
        </w:rPr>
        <w:t xml:space="preserve">правото </w:t>
      </w:r>
      <w:r w:rsidRPr="0041357E">
        <w:rPr>
          <w:rFonts w:ascii="Times New Roman" w:hAnsi="Times New Roman"/>
          <w:color w:val="000000"/>
          <w:sz w:val="24"/>
          <w:szCs w:val="24"/>
        </w:rPr>
        <w:t>на ЕУ</w:t>
      </w:r>
      <w:r>
        <w:rPr>
          <w:rFonts w:ascii="Times New Roman" w:hAnsi="Times New Roman"/>
          <w:i/>
          <w:iCs/>
          <w:color w:val="000000"/>
          <w:sz w:val="24"/>
          <w:szCs w:val="24"/>
        </w:rPr>
        <w:t xml:space="preserve"> </w:t>
      </w:r>
      <w:r>
        <w:rPr>
          <w:rFonts w:ascii="Times New Roman" w:hAnsi="Times New Roman"/>
          <w:color w:val="000000"/>
          <w:sz w:val="24"/>
          <w:szCs w:val="24"/>
        </w:rPr>
        <w:t>за јавни набавки, управување со јавни финансии, регионален и општински развој, еднакви можности и недискриминација, заштита на животната средина, сообраќајна поврзаност и енергетска транзиција. Зајакната е стратешката рамка со донесувањето нови стратегии за јавни набавки и за родова еднаквост, како и со новиот Национален акциски план за енергетска ефикасност. Не е постигнат значителен напредок за децентрализација на услугите и за реорганизација на надлежностите помеѓу централното и субнационалното ниво.</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b/>
          <w:bCs/>
          <w:color w:val="000000"/>
          <w:sz w:val="24"/>
          <w:szCs w:val="24"/>
        </w:rPr>
        <w:t xml:space="preserve">Институционалната рамка </w:t>
      </w:r>
      <w:r>
        <w:rPr>
          <w:rFonts w:ascii="Times New Roman" w:hAnsi="Times New Roman"/>
          <w:color w:val="000000"/>
          <w:sz w:val="24"/>
          <w:szCs w:val="24"/>
        </w:rPr>
        <w:t>за управување со фондовите на ЕУ според ИПА III е дополнително усогласена со барањата на ИПА III во однос на идната улога во кохезионата политика на ЕУ. Меѓутоа, перформансите на постојната и на новата институционална структура за повеќегодишни оперативни програми се загрозени поради слабите административни капацитети.</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b/>
          <w:bCs/>
          <w:color w:val="000000"/>
          <w:sz w:val="24"/>
          <w:szCs w:val="24"/>
        </w:rPr>
        <w:t xml:space="preserve">Административните капацитети </w:t>
      </w:r>
      <w:r>
        <w:rPr>
          <w:rFonts w:ascii="Times New Roman" w:hAnsi="Times New Roman"/>
          <w:color w:val="000000"/>
          <w:sz w:val="24"/>
          <w:szCs w:val="24"/>
        </w:rPr>
        <w:t>и понатаму се слаби кај клучните институции што управуваат со фондовите на ЕУ. Непостоењето општа национална политика за задржување на вработените, недостигот на управување со човечки ресурси и исклучително високата флуктуација на кадарот во структурите на ИПА и понатаму остануваат клучни проблеми. Општо земено, структурите за управување со фондови на ЕУ минатата година работеле со 79% од оптималните нивоа на овластен кадар и со празни клучни раководни места. Напредокот во центарот за обука на ИПА е скромен, главно подразбира набавка на нов мебел, информатичка и медиумска опрема. Развиени се планови за обука и почна ефективното обучување на нови ИПА-практичари. Меѓутоа, центарот за обука има недостиг на кадар и нема утврдена база на обучувачи. Северна Македонија треба да ја спроведе одлуката на Владата од август 2022 година во однос на создавање база на обучувачи и ефективен развој на методологија за обучување.</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Системите за </w:t>
      </w:r>
      <w:r>
        <w:rPr>
          <w:rFonts w:ascii="Times New Roman" w:hAnsi="Times New Roman"/>
          <w:b/>
          <w:bCs/>
          <w:color w:val="000000"/>
          <w:sz w:val="24"/>
          <w:szCs w:val="24"/>
        </w:rPr>
        <w:t xml:space="preserve">финансиско управување и контрола </w:t>
      </w:r>
      <w:r>
        <w:rPr>
          <w:rFonts w:ascii="Times New Roman" w:hAnsi="Times New Roman"/>
          <w:color w:val="000000"/>
          <w:sz w:val="24"/>
          <w:szCs w:val="24"/>
        </w:rPr>
        <w:t xml:space="preserve">се оперативни, но под притисок се поради предизвиците со вработувањето кадар. Ова продолжи негативно да влијае врз активностите за индиректно управување од страна на земјата корисничка. На крајот на 2022 година, во рамките на повеќегодишната програма за животна средина и транспорт на ИПА II (за периодот 2014-2020 година), откажани се средства на ЕУ во вкупен износ од 24,8 милиони евра, додека ризикот од понатамошно значително </w:t>
      </w:r>
      <w:r w:rsidR="008179E8">
        <w:rPr>
          <w:rFonts w:ascii="Times New Roman" w:hAnsi="Times New Roman"/>
          <w:color w:val="000000"/>
          <w:sz w:val="24"/>
          <w:szCs w:val="24"/>
        </w:rPr>
        <w:t>откажување</w:t>
      </w:r>
      <w:r>
        <w:rPr>
          <w:rFonts w:ascii="Times New Roman" w:hAnsi="Times New Roman"/>
          <w:color w:val="000000"/>
          <w:sz w:val="24"/>
          <w:szCs w:val="24"/>
        </w:rPr>
        <w:t xml:space="preserve"> и понатаму е висок. За да ги реши критичните недостатоци и за да може да работи во средина на </w:t>
      </w:r>
      <w:r>
        <w:rPr>
          <w:rFonts w:ascii="Times New Roman" w:hAnsi="Times New Roman"/>
          <w:i/>
          <w:iCs/>
          <w:color w:val="000000"/>
          <w:sz w:val="24"/>
          <w:szCs w:val="24"/>
        </w:rPr>
        <w:t xml:space="preserve">екс-пост </w:t>
      </w:r>
      <w:r>
        <w:rPr>
          <w:rFonts w:ascii="Times New Roman" w:hAnsi="Times New Roman"/>
          <w:color w:val="000000"/>
          <w:sz w:val="24"/>
          <w:szCs w:val="24"/>
        </w:rPr>
        <w:t>контрола, Северна Македонија ја забрза реорганизацијата на финансиските и на контролните системи за нови оперативни програми според ИПА III. Потребни се дополнителни напори за да се исполнат препораките на ЕУ и препораките за ревизија во однос на управувањето со кадарот и политиката за задржување на кадарот, планирањето јавни набавки и договори, внатрешната ревизија и осигурувањето квалитет.</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Рамковната спогодба за финансиско партнерство (ФФПА) во однос на спроведувањето на ИПА III стапи на сила. Завршено е </w:t>
      </w:r>
      <w:r>
        <w:rPr>
          <w:rFonts w:ascii="Times New Roman" w:hAnsi="Times New Roman"/>
          <w:b/>
          <w:bCs/>
          <w:color w:val="000000"/>
          <w:sz w:val="24"/>
          <w:szCs w:val="24"/>
        </w:rPr>
        <w:t xml:space="preserve">програмирањето </w:t>
      </w:r>
      <w:r>
        <w:rPr>
          <w:rFonts w:ascii="Times New Roman" w:hAnsi="Times New Roman"/>
          <w:color w:val="000000"/>
          <w:sz w:val="24"/>
          <w:szCs w:val="24"/>
        </w:rPr>
        <w:t xml:space="preserve">на ИПА 2022 и ИПА 2023, а е постигнат напредок и во однос на програмирањето на ИПА 2024 и оперативните програми за периодот 2024-2027 година. Дијалогот за секторски политики, кој поддржува </w:t>
      </w:r>
      <w:r w:rsidR="001450A9">
        <w:rPr>
          <w:rFonts w:ascii="Times New Roman" w:hAnsi="Times New Roman"/>
          <w:color w:val="000000"/>
          <w:sz w:val="24"/>
          <w:szCs w:val="24"/>
        </w:rPr>
        <w:t xml:space="preserve">стратешко </w:t>
      </w:r>
      <w:r>
        <w:rPr>
          <w:rFonts w:ascii="Times New Roman" w:hAnsi="Times New Roman"/>
          <w:color w:val="000000"/>
          <w:sz w:val="24"/>
          <w:szCs w:val="24"/>
        </w:rPr>
        <w:t>планирање и програмирање, ослабе во минатата година, што се одрази со ретките состаноци на секторските работни групи.</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Северна Македонија продолжува да стекнува искуство во програмирање и спроведување територијална соработка за регионална политика преку учеството во програми за прекугранична, транснационална и меѓурегионална соработка, вклучувајќи ја и Стратегијата на ЕУ за Јадранско-јонскиот Регион.</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однос на </w:t>
      </w:r>
      <w:r>
        <w:rPr>
          <w:rFonts w:ascii="Times New Roman" w:hAnsi="Times New Roman"/>
          <w:b/>
          <w:bCs/>
          <w:color w:val="000000"/>
          <w:sz w:val="24"/>
          <w:szCs w:val="24"/>
        </w:rPr>
        <w:t>следењето и евалуацијата</w:t>
      </w:r>
      <w:r w:rsidRPr="0041357E">
        <w:rPr>
          <w:rFonts w:ascii="Times New Roman" w:hAnsi="Times New Roman"/>
          <w:color w:val="000000"/>
          <w:sz w:val="24"/>
          <w:szCs w:val="24"/>
        </w:rPr>
        <w:t>,</w:t>
      </w:r>
      <w:r>
        <w:rPr>
          <w:rFonts w:ascii="Times New Roman" w:hAnsi="Times New Roman"/>
          <w:b/>
          <w:bCs/>
          <w:color w:val="000000"/>
          <w:sz w:val="24"/>
          <w:szCs w:val="24"/>
        </w:rPr>
        <w:t xml:space="preserve"> </w:t>
      </w:r>
      <w:r w:rsidRPr="0041357E">
        <w:rPr>
          <w:rFonts w:ascii="Times New Roman" w:hAnsi="Times New Roman"/>
          <w:color w:val="000000"/>
          <w:sz w:val="24"/>
          <w:szCs w:val="24"/>
        </w:rPr>
        <w:t>Северна Македонија</w:t>
      </w:r>
      <w:r>
        <w:rPr>
          <w:rFonts w:ascii="Times New Roman" w:hAnsi="Times New Roman"/>
          <w:b/>
          <w:bCs/>
          <w:color w:val="000000"/>
          <w:sz w:val="24"/>
          <w:szCs w:val="24"/>
        </w:rPr>
        <w:t xml:space="preserve"> </w:t>
      </w:r>
      <w:r>
        <w:rPr>
          <w:rFonts w:ascii="Times New Roman" w:hAnsi="Times New Roman"/>
          <w:color w:val="000000"/>
          <w:sz w:val="24"/>
          <w:szCs w:val="24"/>
        </w:rPr>
        <w:t>активно учествува во Комисиите за следење на ИПА и на секторот, меѓутоа се спроведени само 30% од заеднички договорените заклучоци. Недостигот на политичко управување, слабата меѓуинституционална координација и слабата централна функција за известување и следење на Канцеларијата на националниот ИПА-координатор, негативно влијаат врз навременоста и квалитетот на извештаите на ИПА.</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Воспоставена е внатрешна и надворешна </w:t>
      </w:r>
      <w:r>
        <w:rPr>
          <w:rFonts w:ascii="Times New Roman" w:hAnsi="Times New Roman"/>
          <w:b/>
          <w:bCs/>
          <w:color w:val="000000"/>
          <w:sz w:val="24"/>
          <w:szCs w:val="24"/>
        </w:rPr>
        <w:t>ревизија</w:t>
      </w:r>
      <w:r>
        <w:rPr>
          <w:rFonts w:ascii="Times New Roman" w:hAnsi="Times New Roman"/>
          <w:color w:val="000000"/>
          <w:sz w:val="24"/>
          <w:szCs w:val="24"/>
        </w:rPr>
        <w:t>. Меѓутоа, внатрешната ревизија треба да се зајакне за подобро да го поддрж</w:t>
      </w:r>
      <w:r w:rsidR="008179E8">
        <w:rPr>
          <w:rFonts w:ascii="Times New Roman" w:hAnsi="Times New Roman"/>
          <w:color w:val="000000"/>
          <w:sz w:val="24"/>
          <w:szCs w:val="24"/>
        </w:rPr>
        <w:t>и</w:t>
      </w:r>
      <w:r>
        <w:rPr>
          <w:rFonts w:ascii="Times New Roman" w:hAnsi="Times New Roman"/>
          <w:color w:val="000000"/>
          <w:sz w:val="24"/>
          <w:szCs w:val="24"/>
        </w:rPr>
        <w:t xml:space="preserve"> функционирањето на системите за управување и за контрола. Загрижува одложувањето на донесувањето на новиот Закон за јавна внатрешна финансиска контрола. Ревизорското тело продолжува добро да функционира и следи солидна методологија на ревизија со добро покривање со ревизија. Во ноември 2022 година е донесена новата Стратегија за ревизија за 2023-2025 година. Меѓутоа, оперативните и техничките капацитети на ревизорското тело се нарушени поради предизвиците со вработувањето кадар. Субјектите на ревизија и понатаму многу слабо ги спроведуваат ревизорските наоди. Од 96 наоди од претходните ревизии, 23 се затворени во 2022 година, што претставува стапка на спроведување од 24%, што е сериозна причина за загриженост.</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Во однос на борбата против корупција, во согласност со новиот Закон за буџети, во декември 2022 година Владата донесе Уредба за воспоставување на Одделението за координација на борба против измами со средства на ЕУ (АФКОС), што претставува столб на системот за заштита на финансиските интереси на ЕУ во Северна Македонија. Мрежата АФКОС сега е целосно оперативна. Покрај тоа, институциите</w:t>
      </w:r>
      <w:r>
        <w:rPr>
          <w:rFonts w:ascii="Times New Roman" w:hAnsi="Times New Roman"/>
          <w:sz w:val="24"/>
          <w:szCs w:val="24"/>
        </w:rPr>
        <w:t xml:space="preserve"> </w:t>
      </w:r>
      <w:r>
        <w:rPr>
          <w:rFonts w:ascii="Times New Roman" w:hAnsi="Times New Roman"/>
          <w:color w:val="000000"/>
          <w:sz w:val="24"/>
          <w:szCs w:val="24"/>
        </w:rPr>
        <w:t>што управуваат со фондовите на ЕУ спроведуваат систем за финансиско управување и контрола акредитиран од Комисијата, кој е под лупа на орган за надворешна ревизија и служби на Комисијата.</w:t>
      </w:r>
    </w:p>
    <w:p w:rsidR="00C82BEE" w:rsidRPr="0031470B" w:rsidRDefault="00C82BEE" w:rsidP="008D6AE4">
      <w:pPr>
        <w:pStyle w:val="Heading2"/>
      </w:pPr>
      <w:bookmarkStart w:id="111" w:name="bookmark63"/>
      <w:bookmarkStart w:id="112" w:name="_Toc150864289"/>
      <w:r>
        <w:t>П</w:t>
      </w:r>
      <w:bookmarkEnd w:id="111"/>
      <w:r>
        <w:t>оглавје 33: Финансиски и буџетски одредби</w:t>
      </w:r>
      <w:bookmarkEnd w:id="112"/>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i/>
          <w:iCs/>
          <w:color w:val="000000"/>
          <w:sz w:val="24"/>
          <w:szCs w:val="24"/>
        </w:rPr>
        <w:t>Ова поглавје ги опфаќа правилата за финансирањето на буџетот на ЕУ („сопствени ресурси“). Овие ресурси главно се состојат од: (i) придонеси врз основа на бруто-националниот доход на секоја земја членка; (ii) царински давачки; (iii) ресурси од нерециклирана пластика и (iv) ресурси врз основа на данок на додадена вредност. Земјите членки мора да имаат соодветен административен капацитет за соодветно координирање и обезбедување правилна пресметка, собирање, плаќање и контрола на сопствените ресурси.</w:t>
      </w:r>
    </w:p>
    <w:p w:rsidR="00C82BEE" w:rsidRPr="0031470B"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Земјата е во </w:t>
      </w:r>
      <w:r>
        <w:rPr>
          <w:rFonts w:ascii="Times New Roman" w:hAnsi="Times New Roman"/>
          <w:b/>
          <w:bCs/>
          <w:color w:val="000000"/>
          <w:sz w:val="24"/>
          <w:szCs w:val="24"/>
        </w:rPr>
        <w:t xml:space="preserve">рана фаза </w:t>
      </w:r>
      <w:r>
        <w:rPr>
          <w:rFonts w:ascii="Times New Roman" w:hAnsi="Times New Roman"/>
          <w:color w:val="000000"/>
          <w:sz w:val="24"/>
          <w:szCs w:val="24"/>
        </w:rPr>
        <w:t xml:space="preserve">во однос на подготовките на ова поглавје. Во текот на извештајниот период е постигнат </w:t>
      </w:r>
      <w:r>
        <w:rPr>
          <w:rFonts w:ascii="Times New Roman" w:hAnsi="Times New Roman"/>
          <w:b/>
          <w:bCs/>
          <w:color w:val="000000"/>
          <w:sz w:val="24"/>
          <w:szCs w:val="24"/>
        </w:rPr>
        <w:t>ограничен напредок</w:t>
      </w:r>
      <w:r>
        <w:rPr>
          <w:rFonts w:ascii="Times New Roman" w:hAnsi="Times New Roman"/>
          <w:color w:val="000000"/>
          <w:sz w:val="24"/>
          <w:szCs w:val="24"/>
        </w:rPr>
        <w:t>. Северна Македонија известува за националните сметки во согласност со методологијата на ЕСС 2010 (Европскиот систем на сметки), меѓутоа потребни се дополнителни подобрувања во поглед на целосниот и навремен пренос на годишните национални сметки. Институционалната структура за обезбедување ефикасно функционирање на системот на сопствените ресурси, сѐ уште не е воспоставена.</w:t>
      </w:r>
    </w:p>
    <w:p w:rsidR="00C82BEE" w:rsidRPr="0031470B"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Pr>
          <w:rFonts w:ascii="Times New Roman" w:hAnsi="Times New Roman"/>
          <w:color w:val="000000"/>
          <w:sz w:val="24"/>
          <w:szCs w:val="24"/>
        </w:rPr>
        <w:t>Бидејќи не се спроведени сите препораки од извештајот од минатата година, во наредната година земјата треба:</w:t>
      </w:r>
    </w:p>
    <w:p w:rsidR="00C82BEE" w:rsidRPr="0031470B"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color w:val="000000"/>
          <w:sz w:val="24"/>
          <w:szCs w:val="24"/>
        </w:rPr>
        <w:tab/>
        <w:t>дополнително да ја усогласи правната основа за системот на сопствени ресурси во областите на оданочување (ДДВ), царинска унија, финансиска контрола и статистика;</w:t>
      </w:r>
    </w:p>
    <w:p w:rsidR="00C82BEE" w:rsidRPr="0031470B"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color w:val="000000"/>
          <w:sz w:val="24"/>
          <w:szCs w:val="24"/>
        </w:rPr>
        <w:tab/>
        <w:t>да ги зајакне административните капацитети и механизмите за координација помеѓу клучните засегнати страни во системот на сопствени ресурси.</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Северна Македонија постигна ограничен напредок во поглед на административните услови за сопствените ресурси утврдени во релевантните Регулативи за намалување на административниот товар за даночните обврзници и процесот за поврат на ДДВ. Мерките за борба против и за намалување на затајување данок, измама и неформална економија, како и за подобрување на внатрешната контрола во јавниот сектор, сè уште не се применуваат ефикасно. Северна Македонија продолжи со своите напори за усогласување на законодавството со стандардите на ЕСС 2010, но потребни се дополнителни напори за подобрување на усогласеноста со методологијата на ЕСС 2010. Сите царински декларации и акцизни документи се обработуваат електронски, а во извештајниот период напредокот продолжи со консолидацијата, примената и надградбата на ИТ-системите (</w:t>
      </w:r>
      <w:r>
        <w:rPr>
          <w:rFonts w:ascii="Times New Roman" w:hAnsi="Times New Roman"/>
          <w:i/>
          <w:iCs/>
          <w:color w:val="000000"/>
          <w:sz w:val="24"/>
          <w:szCs w:val="24"/>
        </w:rPr>
        <w:t>за подетални информации видете Поглавје 16 – Оданочување, Поглавје 18 – Статистика, Поглавје 29 – Царинска унија и Поглавје 32 – Финансиска контрола</w:t>
      </w:r>
      <w:r>
        <w:rPr>
          <w:rFonts w:ascii="Times New Roman" w:hAnsi="Times New Roman"/>
          <w:color w:val="000000"/>
          <w:sz w:val="24"/>
          <w:szCs w:val="24"/>
        </w:rPr>
        <w:t>).</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однос на </w:t>
      </w:r>
      <w:r>
        <w:rPr>
          <w:rFonts w:ascii="Times New Roman" w:hAnsi="Times New Roman"/>
          <w:b/>
          <w:bCs/>
          <w:color w:val="000000"/>
          <w:sz w:val="24"/>
          <w:szCs w:val="24"/>
        </w:rPr>
        <w:t>традиционалните сопствени ресурси</w:t>
      </w:r>
      <w:r>
        <w:rPr>
          <w:rFonts w:ascii="Times New Roman" w:hAnsi="Times New Roman"/>
          <w:color w:val="000000"/>
          <w:sz w:val="24"/>
          <w:szCs w:val="24"/>
        </w:rPr>
        <w:t>, постигнат е напредок во консолидацијата, примената и во надградбата на ИТ-системите. Царинската управа функционира бесхартиено и електронски ги обработува царинските декларации и акцизните документи. Дигитализацијата на царинските процеси продолжи со воведувањето „зелена“ царинска декларација, при што постапките за увоз и извоз се завршуваат за 1 час.</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однос на </w:t>
      </w:r>
      <w:r>
        <w:rPr>
          <w:rFonts w:ascii="Times New Roman" w:hAnsi="Times New Roman"/>
          <w:b/>
          <w:bCs/>
          <w:color w:val="000000"/>
          <w:sz w:val="24"/>
          <w:szCs w:val="24"/>
        </w:rPr>
        <w:t>ДДВ</w:t>
      </w:r>
      <w:r w:rsidRPr="0041357E">
        <w:rPr>
          <w:rFonts w:ascii="Times New Roman" w:hAnsi="Times New Roman"/>
          <w:color w:val="000000"/>
          <w:sz w:val="24"/>
          <w:szCs w:val="24"/>
        </w:rPr>
        <w:t>,</w:t>
      </w:r>
      <w:r>
        <w:rPr>
          <w:rFonts w:ascii="Times New Roman" w:hAnsi="Times New Roman"/>
          <w:color w:val="000000"/>
          <w:sz w:val="24"/>
          <w:szCs w:val="24"/>
        </w:rPr>
        <w:t xml:space="preserve"> Стратегијата за реформа на даночниот систем за периодот 2021-2025 година сè уште е во тек. Во април 2023 година Управата за јавни приходи го објави Стратешкиот план за 2023-2025 година. Во поглед на индиректното оданочување, на крајот на 2022 година е укинато ослободувањето од ДДВ и повластените стапки за основни производи. Воведена е повластена стапка на ДДВ за одредени енергетски производи за да се ублажат ефектите од значителното глобалното зголемување на цените за енергија. Повластената стапка на ДДВ за електрична енергија во домаќинствата престана да се применува на 30 јуни 2023 година. Во однос на процесот на поврат на ДДВ, и понатаму има одложувања. (</w:t>
      </w:r>
      <w:r>
        <w:rPr>
          <w:rFonts w:ascii="Times New Roman" w:hAnsi="Times New Roman"/>
          <w:i/>
          <w:iCs/>
          <w:color w:val="000000"/>
          <w:sz w:val="24"/>
          <w:szCs w:val="24"/>
        </w:rPr>
        <w:t>Видете Поглавје 16 – Оданочување</w:t>
      </w:r>
      <w:r>
        <w:rPr>
          <w:rFonts w:ascii="Times New Roman" w:hAnsi="Times New Roman"/>
          <w:color w:val="000000"/>
          <w:sz w:val="24"/>
          <w:szCs w:val="24"/>
        </w:rPr>
        <w:t>).</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однос на </w:t>
      </w:r>
      <w:r>
        <w:rPr>
          <w:rFonts w:ascii="Times New Roman" w:hAnsi="Times New Roman"/>
          <w:b/>
          <w:bCs/>
          <w:color w:val="000000"/>
          <w:sz w:val="24"/>
          <w:szCs w:val="24"/>
        </w:rPr>
        <w:t>административната инфраструктура</w:t>
      </w:r>
      <w:r>
        <w:rPr>
          <w:rFonts w:ascii="Times New Roman" w:hAnsi="Times New Roman"/>
          <w:color w:val="000000"/>
          <w:sz w:val="24"/>
          <w:szCs w:val="24"/>
        </w:rPr>
        <w:t>, потребни се дополнителни напори за да се обезбеди навремена и ефикасна пресметка, наплата, плаќање и контрола на сопствените ресурси, како</w:t>
      </w:r>
      <w:r>
        <w:rPr>
          <w:rFonts w:ascii="Times New Roman" w:hAnsi="Times New Roman"/>
          <w:sz w:val="24"/>
          <w:szCs w:val="24"/>
        </w:rPr>
        <w:t xml:space="preserve"> </w:t>
      </w:r>
      <w:r>
        <w:rPr>
          <w:rFonts w:ascii="Times New Roman" w:hAnsi="Times New Roman"/>
          <w:color w:val="000000"/>
          <w:sz w:val="24"/>
          <w:szCs w:val="24"/>
        </w:rPr>
        <w:t>и за подобрување на механизмите за известување и за координацијата меѓу сите вклучени тела. Ова е неопходно при пристапувањето во ЕУ.</w:t>
      </w:r>
    </w:p>
    <w:p w:rsidR="00C82BEE" w:rsidRPr="0031470B" w:rsidRDefault="00C82BEE" w:rsidP="008D6AE4">
      <w:pPr>
        <w:pStyle w:val="Heading2"/>
      </w:pPr>
      <w:bookmarkStart w:id="113" w:name="bookmark64"/>
      <w:bookmarkStart w:id="114" w:name="_Toc150864290"/>
      <w:r>
        <w:t>К</w:t>
      </w:r>
      <w:bookmarkEnd w:id="113"/>
      <w:r>
        <w:t>ластер 6: Надворешни односи</w:t>
      </w:r>
      <w:bookmarkEnd w:id="114"/>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Кластерот 6 ги опфаќа надворешните односи (поглавје 30) и надворешната, безбедносната и одбранбената политика (поглавје 31).</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Северна Македонија е умерено подготвена во областа на надворешните односи и постигна добро ниво на подготовка на заедничката надворешна и безбедносна политика. Земјата оствари одреден напредок во извештајниот период за заедничката трговска политика. Забележан е добар напредок со одржување целосна усогласеност со заедничката надворешна и безбедносна политика на ЕУ. На тој начин, Северна Македонија се покажа како доверлив партнер, вклучително и на меѓународно ниво.</w:t>
      </w:r>
    </w:p>
    <w:p w:rsidR="00C82BEE" w:rsidRPr="0031470B" w:rsidRDefault="00C82BEE" w:rsidP="008D6AE4">
      <w:pPr>
        <w:pStyle w:val="Heading2"/>
      </w:pPr>
      <w:bookmarkStart w:id="115" w:name="bookmark65"/>
      <w:bookmarkStart w:id="116" w:name="_Toc150864291"/>
      <w:r>
        <w:t>П</w:t>
      </w:r>
      <w:bookmarkEnd w:id="115"/>
      <w:r>
        <w:t>оглавје 30: Надворешни односи</w:t>
      </w:r>
      <w:bookmarkEnd w:id="116"/>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i/>
          <w:iCs/>
          <w:color w:val="000000"/>
          <w:sz w:val="24"/>
          <w:szCs w:val="24"/>
        </w:rPr>
        <w:t>ЕУ има заедничка трговска политика кон трети земји, заснована на мултилатерални и билатерални договори и автономни мерки. Исто така, постојат правила на ЕУ во областа на хуманитарната помош и развојната политика.</w:t>
      </w:r>
    </w:p>
    <w:p w:rsidR="00C82BEE" w:rsidRPr="0031470B"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Северна Македонија е </w:t>
      </w:r>
      <w:r>
        <w:rPr>
          <w:rFonts w:ascii="Times New Roman" w:hAnsi="Times New Roman"/>
          <w:b/>
          <w:bCs/>
          <w:color w:val="000000"/>
          <w:sz w:val="24"/>
          <w:szCs w:val="24"/>
        </w:rPr>
        <w:t xml:space="preserve">умерено подготвена </w:t>
      </w:r>
      <w:r>
        <w:rPr>
          <w:rFonts w:ascii="Times New Roman" w:hAnsi="Times New Roman"/>
          <w:color w:val="000000"/>
          <w:sz w:val="24"/>
          <w:szCs w:val="24"/>
        </w:rPr>
        <w:t xml:space="preserve">во областа на надворешните односи и постигна </w:t>
      </w:r>
      <w:r>
        <w:rPr>
          <w:rFonts w:ascii="Times New Roman" w:hAnsi="Times New Roman"/>
          <w:b/>
          <w:bCs/>
          <w:color w:val="000000"/>
          <w:sz w:val="24"/>
          <w:szCs w:val="24"/>
        </w:rPr>
        <w:t>одреден напредок</w:t>
      </w:r>
      <w:r>
        <w:rPr>
          <w:rFonts w:ascii="Times New Roman" w:hAnsi="Times New Roman"/>
          <w:color w:val="000000"/>
          <w:sz w:val="24"/>
          <w:szCs w:val="24"/>
        </w:rPr>
        <w:t xml:space="preserve"> во извештајниот период. Земјата ја продолжи блиската соработка со ЕУ, вклучително и во рамките на Светската трговска организација (СТО) и продолжи да ги спроведува протоколите на ЦЕФТА. До крајот на 2022 година беа тргнати или истечени трговските рестрикции за одредени производи. Институционалниот капацитет за целосно учество во трговските, развојните и во</w:t>
      </w:r>
      <w:r w:rsidRPr="00C82BEE">
        <w:rPr>
          <w:rFonts w:ascii="Times New Roman" w:hAnsi="Times New Roman"/>
          <w:color w:val="000000"/>
          <w:sz w:val="24"/>
          <w:szCs w:val="24"/>
          <w:lang w:val="ru-RU"/>
        </w:rPr>
        <w:t xml:space="preserve"> </w:t>
      </w:r>
      <w:r>
        <w:rPr>
          <w:rFonts w:ascii="Times New Roman" w:hAnsi="Times New Roman"/>
          <w:color w:val="000000"/>
          <w:sz w:val="24"/>
          <w:szCs w:val="24"/>
        </w:rPr>
        <w:t>хуманитарните политики на ЕУ сè уште не е доволен. Препораките од минатата година беа делумно спроведени. Во наредната година, земјата треба особено:</w:t>
      </w:r>
    </w:p>
    <w:p w:rsidR="00C82BEE" w:rsidRPr="0031470B"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color w:val="000000"/>
          <w:sz w:val="24"/>
          <w:szCs w:val="24"/>
        </w:rPr>
        <w:tab/>
        <w:t>дополнително да го спроведе Дополнителниот протокол 6 на ЦЕФТА за трговија со услуги и да го склучи и донесе Дополнителниот протокол 7 на ЦЕФТА за решавање спорови;</w:t>
      </w:r>
    </w:p>
    <w:p w:rsidR="00C82BEE" w:rsidRPr="0031470B"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color w:val="000000"/>
          <w:sz w:val="24"/>
          <w:szCs w:val="24"/>
        </w:rPr>
        <w:tab/>
        <w:t>да воспостави правна рамка што ја опфаќа политиката за меѓународна соработка и развој, како и хуманитарна помош кон земјите што не се членки на ЕУ, во согласност со политиките и начелата на ЕУ.</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однос на </w:t>
      </w:r>
      <w:r>
        <w:rPr>
          <w:rFonts w:ascii="Times New Roman" w:hAnsi="Times New Roman"/>
          <w:b/>
          <w:bCs/>
          <w:color w:val="000000"/>
          <w:sz w:val="24"/>
          <w:szCs w:val="24"/>
        </w:rPr>
        <w:t>заедничката трговска политика</w:t>
      </w:r>
      <w:r>
        <w:rPr>
          <w:rFonts w:ascii="Times New Roman" w:hAnsi="Times New Roman"/>
          <w:color w:val="000000"/>
          <w:sz w:val="24"/>
          <w:szCs w:val="24"/>
        </w:rPr>
        <w:t>, Северна Македонија продолжи да ги координира своите позиции и да ги усогласува своите политики со оние на ЕУ, вклучително и во рамките на СТО, и ја поддржува реформата на СТО. Земјата го заврши процесот на сертификација за домашна регулатива за услуги, во рамките на СТО. Одредбите од Договорот за олеснување на трговијата се целосно применети, а Националниот комитет за олеснување на трговијата се состана двапати во 2022 година. На 7 јуни 2023 година, членовите на Договорот за јавни набавки (GPA) на СТО одлучија да ја примат Северна Македонија во GPA.</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Дополнително треба да се зајакне административниот капацитет на Министерството за економија, како министерството надлежно за трговската политика. Квантитативните ограничувања за извоз на одредени производи, кои беа воведени во март 2022 година, или беа укинати или истекоа до крајот на 2022 година.</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Северна Македонија продолжи активно да учествува во ЦЕФТА и се обврза да го спроведува Заедничкиот </w:t>
      </w:r>
      <w:r w:rsidR="00120123">
        <w:rPr>
          <w:rFonts w:ascii="Times New Roman" w:hAnsi="Times New Roman"/>
          <w:color w:val="000000"/>
          <w:sz w:val="24"/>
          <w:szCs w:val="24"/>
        </w:rPr>
        <w:t xml:space="preserve">регионален </w:t>
      </w:r>
      <w:r>
        <w:rPr>
          <w:rFonts w:ascii="Times New Roman" w:hAnsi="Times New Roman"/>
          <w:color w:val="000000"/>
          <w:sz w:val="24"/>
          <w:szCs w:val="24"/>
        </w:rPr>
        <w:t xml:space="preserve">пазар за 2021-2024 година (ЗЗП). Во април 2023 година, Собранието ратификуваше три договори поврзани со </w:t>
      </w:r>
      <w:r w:rsidR="00AF05B3">
        <w:rPr>
          <w:rFonts w:ascii="Times New Roman" w:hAnsi="Times New Roman"/>
          <w:color w:val="000000"/>
          <w:sz w:val="24"/>
          <w:szCs w:val="24"/>
        </w:rPr>
        <w:t>спроведувањето на ЗЗП – слобода</w:t>
      </w:r>
      <w:r>
        <w:rPr>
          <w:rFonts w:ascii="Times New Roman" w:hAnsi="Times New Roman"/>
          <w:color w:val="000000"/>
          <w:sz w:val="24"/>
          <w:szCs w:val="24"/>
        </w:rPr>
        <w:t xml:space="preserve"> на движење со лични карти, признавање професионални квалификации и признавање академски квалификации. Во тек е спроведувањето на Дополнителниот протокол 6 за услуги.</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Системот за контрола на извозот на </w:t>
      </w:r>
      <w:r>
        <w:rPr>
          <w:rFonts w:ascii="Times New Roman" w:hAnsi="Times New Roman"/>
          <w:b/>
          <w:bCs/>
          <w:color w:val="000000"/>
          <w:sz w:val="24"/>
          <w:szCs w:val="24"/>
        </w:rPr>
        <w:t xml:space="preserve">стоки и технологии со двојна употреба </w:t>
      </w:r>
      <w:r>
        <w:rPr>
          <w:rFonts w:ascii="Times New Roman" w:hAnsi="Times New Roman"/>
          <w:color w:val="000000"/>
          <w:sz w:val="24"/>
          <w:szCs w:val="24"/>
        </w:rPr>
        <w:t>е оперативен. Во јуни 2023 година Владата донесе ажуриран список на производи со двојна употреба за да се усогласи со Регулативата на ЕУ за контрола на извоз, пренос, посредување и транзит на стоки и технологии со двојна употреба.</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Северна Македонија во сила се 38 </w:t>
      </w:r>
      <w:r>
        <w:rPr>
          <w:rFonts w:ascii="Times New Roman" w:hAnsi="Times New Roman"/>
          <w:b/>
          <w:bCs/>
          <w:color w:val="000000"/>
          <w:sz w:val="24"/>
          <w:szCs w:val="24"/>
        </w:rPr>
        <w:t xml:space="preserve">билатерални договори за инвестиции со трети земји </w:t>
      </w:r>
      <w:r>
        <w:rPr>
          <w:rFonts w:ascii="Times New Roman" w:hAnsi="Times New Roman"/>
          <w:color w:val="000000"/>
          <w:sz w:val="24"/>
          <w:szCs w:val="24"/>
        </w:rPr>
        <w:t>(билатерални договори за инвестиции – БДИ), а 18 од нив се склучени со земји членки на ЕУ. Земјата го ажурира постојниот модел на билатералните договори за инвестиции. Изменетиот договор за слободна трговија помеѓу Северна Македонија и Украина беше ратификуван во април 2023 година, со што дополнително се либерализираше трговијата со храна и земјоделски производи.</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Не е постигнат напредок во </w:t>
      </w:r>
      <w:r>
        <w:rPr>
          <w:rFonts w:ascii="Times New Roman" w:hAnsi="Times New Roman"/>
          <w:b/>
          <w:bCs/>
          <w:color w:val="000000"/>
          <w:sz w:val="24"/>
          <w:szCs w:val="24"/>
        </w:rPr>
        <w:t xml:space="preserve">развојната политика </w:t>
      </w:r>
      <w:r>
        <w:rPr>
          <w:rFonts w:ascii="Times New Roman" w:hAnsi="Times New Roman"/>
          <w:color w:val="000000"/>
          <w:sz w:val="24"/>
          <w:szCs w:val="24"/>
        </w:rPr>
        <w:t xml:space="preserve">и </w:t>
      </w:r>
      <w:r>
        <w:rPr>
          <w:rFonts w:ascii="Times New Roman" w:hAnsi="Times New Roman"/>
          <w:b/>
          <w:bCs/>
          <w:color w:val="000000"/>
          <w:sz w:val="24"/>
          <w:szCs w:val="24"/>
        </w:rPr>
        <w:t>хуманитарната помош</w:t>
      </w:r>
      <w:r>
        <w:rPr>
          <w:rFonts w:ascii="Times New Roman" w:hAnsi="Times New Roman"/>
          <w:color w:val="000000"/>
          <w:sz w:val="24"/>
          <w:szCs w:val="24"/>
        </w:rPr>
        <w:t>. Земјата се охрабрува да воспостави политичка рамка во областите на развој, меѓународна соработка и хуманитарна помош во согласност со политиките и стандардите на ЕУ.</w:t>
      </w:r>
    </w:p>
    <w:p w:rsidR="00C82BEE" w:rsidRPr="0031470B" w:rsidRDefault="00C82BEE" w:rsidP="008D6AE4">
      <w:pPr>
        <w:pStyle w:val="Heading2"/>
      </w:pPr>
      <w:bookmarkStart w:id="117" w:name="bookmark66"/>
      <w:bookmarkStart w:id="118" w:name="_Toc150864292"/>
      <w:r>
        <w:t>П</w:t>
      </w:r>
      <w:bookmarkEnd w:id="117"/>
      <w:r>
        <w:t>оглавје 31: Надворешна, безбедносна и одбранбена политика</w:t>
      </w:r>
      <w:bookmarkEnd w:id="118"/>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i/>
          <w:iCs/>
          <w:color w:val="000000"/>
          <w:sz w:val="24"/>
          <w:szCs w:val="24"/>
        </w:rPr>
        <w:t>Земјите членки мора да бидат способни да водат политички дијалози во рамките на надворешната, на безбедносната и на одбранбената политика, да ги почитуваат декларациите на ЕУ, да учествуваат во активностите на ЕУ и да ги применуваат договорените санкции и рестриктивни мерки.</w:t>
      </w:r>
    </w:p>
    <w:p w:rsidR="00C82BEE" w:rsidRPr="0031470B"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Северна Македонија </w:t>
      </w:r>
      <w:r w:rsidR="00794C13">
        <w:rPr>
          <w:rFonts w:ascii="Times New Roman" w:hAnsi="Times New Roman"/>
          <w:color w:val="000000"/>
          <w:sz w:val="24"/>
          <w:szCs w:val="24"/>
        </w:rPr>
        <w:t xml:space="preserve">има </w:t>
      </w:r>
      <w:r>
        <w:rPr>
          <w:rFonts w:ascii="Times New Roman" w:hAnsi="Times New Roman"/>
          <w:b/>
          <w:bCs/>
          <w:color w:val="000000"/>
          <w:sz w:val="24"/>
          <w:szCs w:val="24"/>
        </w:rPr>
        <w:t xml:space="preserve">добро ниво на </w:t>
      </w:r>
      <w:r w:rsidR="00794C13">
        <w:rPr>
          <w:rFonts w:ascii="Times New Roman" w:hAnsi="Times New Roman"/>
          <w:b/>
          <w:bCs/>
          <w:color w:val="000000"/>
          <w:sz w:val="24"/>
          <w:szCs w:val="24"/>
        </w:rPr>
        <w:t>подготвеност</w:t>
      </w:r>
      <w:r>
        <w:rPr>
          <w:rFonts w:ascii="Times New Roman" w:hAnsi="Times New Roman"/>
          <w:b/>
          <w:bCs/>
          <w:color w:val="000000"/>
          <w:sz w:val="24"/>
          <w:szCs w:val="24"/>
        </w:rPr>
        <w:t xml:space="preserve"> </w:t>
      </w:r>
      <w:r>
        <w:rPr>
          <w:rFonts w:ascii="Times New Roman" w:hAnsi="Times New Roman"/>
          <w:color w:val="000000"/>
          <w:sz w:val="24"/>
          <w:szCs w:val="24"/>
        </w:rPr>
        <w:t xml:space="preserve">во областа на заедничката надворешна, безбедносна и одбранбена политика. Во извештајниот период е постигнат </w:t>
      </w:r>
      <w:r>
        <w:rPr>
          <w:rFonts w:ascii="Times New Roman" w:hAnsi="Times New Roman"/>
          <w:b/>
          <w:bCs/>
          <w:color w:val="000000"/>
          <w:sz w:val="24"/>
          <w:szCs w:val="24"/>
        </w:rPr>
        <w:t xml:space="preserve">добар напредок, </w:t>
      </w:r>
      <w:r>
        <w:rPr>
          <w:rFonts w:ascii="Times New Roman" w:hAnsi="Times New Roman"/>
          <w:color w:val="000000"/>
          <w:sz w:val="24"/>
          <w:szCs w:val="24"/>
        </w:rPr>
        <w:t>со тоа што земјата одржа целосна усогласеност со заедничката надворешна и безбедносна политика на ЕУ, вклучително и со рестриктивните мерки на ЕУ по руската воена агресија врз Украина. Северна Македонија продолжи да учествува во мисиите и во операциите на ЕУ за управување со кризи во рамките на заедничката безбедносна и одбранбена политика.</w:t>
      </w:r>
    </w:p>
    <w:p w:rsidR="00C82BEE" w:rsidRPr="0031470B"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Pr>
          <w:rFonts w:ascii="Times New Roman" w:hAnsi="Times New Roman"/>
          <w:color w:val="000000"/>
          <w:sz w:val="24"/>
          <w:szCs w:val="24"/>
        </w:rPr>
        <w:t>Во наредната година, земјата треба особено:</w:t>
      </w:r>
    </w:p>
    <w:p w:rsidR="00C82BEE" w:rsidRPr="0031470B"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color w:val="000000"/>
          <w:sz w:val="24"/>
          <w:szCs w:val="24"/>
        </w:rPr>
        <w:tab/>
        <w:t>да одржува целосна усогласеност со заедничката надворешна и безбедносна политика на ЕУ</w:t>
      </w:r>
      <w:r>
        <w:rPr>
          <w:rFonts w:ascii="Times New Roman" w:hAnsi="Times New Roman"/>
          <w:i/>
          <w:iCs/>
          <w:color w:val="000000"/>
          <w:sz w:val="24"/>
          <w:szCs w:val="24"/>
        </w:rPr>
        <w:t>.</w:t>
      </w:r>
    </w:p>
    <w:p w:rsidR="00C82BEE" w:rsidRPr="0031470B" w:rsidRDefault="00C82BEE" w:rsidP="008D6AE4">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color w:val="000000"/>
          <w:sz w:val="24"/>
          <w:szCs w:val="24"/>
        </w:rPr>
        <w:tab/>
        <w:t>да вложи дополнителни напори за отстранување на просторот за странски вмешувања и манипулации со информациите, вклучувајќи и дезинформации, како и да преземе чекори кон јакнење на општествената отпорност на нив и на другите форми на хибридни закани.</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Продолжи </w:t>
      </w:r>
      <w:r>
        <w:rPr>
          <w:rFonts w:ascii="Times New Roman" w:hAnsi="Times New Roman"/>
          <w:b/>
          <w:bCs/>
          <w:color w:val="000000"/>
          <w:sz w:val="24"/>
          <w:szCs w:val="24"/>
        </w:rPr>
        <w:t xml:space="preserve">политичкиот дијалог </w:t>
      </w:r>
      <w:r>
        <w:rPr>
          <w:rFonts w:ascii="Times New Roman" w:hAnsi="Times New Roman"/>
          <w:color w:val="000000"/>
          <w:sz w:val="24"/>
          <w:szCs w:val="24"/>
        </w:rPr>
        <w:t xml:space="preserve">за прашањата од областа на надворешната и на безбедносната политика помеѓу Северна Македонија и ЕУ, вклучително преку редовни дијалози за надворешната и за безбедносната политика на сите нивоа. Во април 2023 година, Северна Македонија учествуваше на деветтиот состанок на Европската Унија – Западен Балкан на ниво на политички директори. Во март 2023 година Северна Македонија учествуваше на министерско ниво на првиот Безбедносно-одбранбен форум Шуман, а во мај 2023 година на работниот ручек со членови на Советот за надворешни работи. Воспоставена е институционалната рамка што овозможува учество на земјата во заедничката надворешна и безбедносна политика и во заедничката безбедносна и одбранбена политика. Земјата ја потпиша глобалната стратегија за надворешна и за безбедносна политика на ЕУ и </w:t>
      </w:r>
      <w:r w:rsidR="00ED23CA">
        <w:rPr>
          <w:rFonts w:ascii="Times New Roman" w:hAnsi="Times New Roman"/>
          <w:color w:val="000000"/>
          <w:sz w:val="24"/>
          <w:szCs w:val="24"/>
        </w:rPr>
        <w:t xml:space="preserve">Стратешкиот </w:t>
      </w:r>
      <w:r>
        <w:rPr>
          <w:rFonts w:ascii="Times New Roman" w:hAnsi="Times New Roman"/>
          <w:color w:val="000000"/>
          <w:sz w:val="24"/>
          <w:szCs w:val="24"/>
        </w:rPr>
        <w:t>компас за безбедност и одбрана.</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однос на </w:t>
      </w:r>
      <w:r>
        <w:rPr>
          <w:rFonts w:ascii="Times New Roman" w:hAnsi="Times New Roman"/>
          <w:b/>
          <w:bCs/>
          <w:color w:val="000000"/>
          <w:sz w:val="24"/>
          <w:szCs w:val="24"/>
        </w:rPr>
        <w:t>заедничката надворешна и безбедносна политика (ЗНБП)</w:t>
      </w:r>
      <w:r>
        <w:rPr>
          <w:rFonts w:ascii="Times New Roman" w:hAnsi="Times New Roman"/>
          <w:color w:val="000000"/>
          <w:sz w:val="24"/>
          <w:szCs w:val="24"/>
        </w:rPr>
        <w:t xml:space="preserve">, стапката на усогласеност на земјата со соодветните изјави на Високиот претставник на ЕУ и релевантните Одлуки на Советот, достигна 100 %. Опфатени се сите рестриктивни мерки на ЕУ во однос на руската агресија врз Украина. Ова е силен показател за стратешката посветеност на земјата кон нејзиниот пат во ЕУ. Северна Македонија, исто така, се усогласи со сите изјави на ЕУ поднесени во меѓународните организации, вклучително и со коспонзорирање на Резолуцијата донесена на Специјалното вонредно заседание на Генералното собрание на ОН за Украина одржано на 23 февруари 2023 година. Земјата продолжува да ги спроведува </w:t>
      </w:r>
      <w:r>
        <w:rPr>
          <w:rFonts w:ascii="Times New Roman" w:hAnsi="Times New Roman"/>
          <w:i/>
          <w:iCs/>
          <w:color w:val="000000"/>
          <w:sz w:val="24"/>
          <w:szCs w:val="24"/>
        </w:rPr>
        <w:t xml:space="preserve">рестриктивните мерки </w:t>
      </w:r>
      <w:r>
        <w:rPr>
          <w:rFonts w:ascii="Times New Roman" w:hAnsi="Times New Roman"/>
          <w:color w:val="000000"/>
          <w:sz w:val="24"/>
          <w:szCs w:val="24"/>
        </w:rPr>
        <w:t>на ЕУ, каде што Законот за рестриктивни мерки ја обезбедува правната рамка за воведување и следење на рестриктивните мерки, вклучително и економските. Надлежните органи треба да продолжат со зајакнување на своите капацитети за спроведување на воведените санкции. Бидејќи усогласувањето</w:t>
      </w:r>
      <w:r>
        <w:rPr>
          <w:rFonts w:ascii="Times New Roman" w:hAnsi="Times New Roman"/>
          <w:sz w:val="24"/>
          <w:szCs w:val="24"/>
        </w:rPr>
        <w:t xml:space="preserve"> </w:t>
      </w:r>
      <w:r>
        <w:rPr>
          <w:rFonts w:ascii="Times New Roman" w:hAnsi="Times New Roman"/>
          <w:color w:val="000000"/>
          <w:sz w:val="24"/>
          <w:szCs w:val="24"/>
        </w:rPr>
        <w:t>со рестриктивните мерки на ЕУ</w:t>
      </w:r>
      <w:r w:rsidRPr="004A2212">
        <w:rPr>
          <w:rFonts w:ascii="Times New Roman" w:hAnsi="Times New Roman"/>
          <w:color w:val="000000"/>
          <w:sz w:val="24"/>
          <w:szCs w:val="24"/>
        </w:rPr>
        <w:t xml:space="preserve"> </w:t>
      </w:r>
      <w:r>
        <w:rPr>
          <w:rFonts w:ascii="Times New Roman" w:hAnsi="Times New Roman"/>
          <w:color w:val="000000"/>
          <w:sz w:val="24"/>
          <w:szCs w:val="24"/>
        </w:rPr>
        <w:t>нема директен правен ефект, за секоја нова мерка или измена мора да се донесе нов правен акт со Одлука на Владата, со што ќе се создаде временски јаз помеѓу усогласувањето и спроведувањето.</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Како одраз на затегнатите односи со Русија, во јануари 2023 година е раскинат договорот за визи помеѓу двете земји и повлечена е дозволата за работа на Рускиот почесен конзулат во Битола.</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Северна Македонија и натаму го одржува билатералниот договор за имунитет со САД, со кој на американските државјани им се овозможува изземање од јурисдикцијата на </w:t>
      </w:r>
      <w:r>
        <w:rPr>
          <w:rFonts w:ascii="Times New Roman" w:hAnsi="Times New Roman"/>
          <w:b/>
          <w:bCs/>
          <w:color w:val="000000"/>
          <w:sz w:val="24"/>
          <w:szCs w:val="24"/>
        </w:rPr>
        <w:t>Меѓународниот кривичен суд</w:t>
      </w:r>
      <w:r>
        <w:rPr>
          <w:rFonts w:ascii="Times New Roman" w:hAnsi="Times New Roman"/>
          <w:color w:val="000000"/>
          <w:sz w:val="24"/>
          <w:szCs w:val="24"/>
        </w:rPr>
        <w:t>. Со тоа, земјата не ги почитува заедничките ставови на ЕУ за интегритетот на Римскиот статут или поврзаните водечки начела на ЕУ за билатералните договори за имунитет. Потребно е усогласување со ставот на ЕУ.</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однос на </w:t>
      </w:r>
      <w:r>
        <w:rPr>
          <w:rFonts w:ascii="Times New Roman" w:hAnsi="Times New Roman"/>
          <w:b/>
          <w:bCs/>
          <w:color w:val="000000"/>
          <w:sz w:val="24"/>
          <w:szCs w:val="24"/>
        </w:rPr>
        <w:t>спречувањето конфликти</w:t>
      </w:r>
      <w:r>
        <w:rPr>
          <w:rFonts w:ascii="Times New Roman" w:hAnsi="Times New Roman"/>
          <w:color w:val="000000"/>
          <w:sz w:val="24"/>
          <w:szCs w:val="24"/>
        </w:rPr>
        <w:t>, во јануари 2023 година Северна Македонија го презеде претседавањето со ОБСЕ во период од една година. Во своето својство на претседавач со ОБСЕ, во април 2023 година министерот за надворешни работи на Северна Македонија ги посети Грузија, Азербејџан и Ерменија, а во мај 2023 година ги посети Србија и Косово. Во март 2023 година Северна Македонија осигури место за состанок за Дијалог на високо ниво во Охрид, помеѓу претседателот на Србија и премиерот на Косово, кој го свика Борел, високиот претставник за надворешни работи и безбедносна политика и потпретседател на Европската комисија. Северна Македонија продолжи да ги поддржува мерките и документите на ЕУ што се однесуваат на спречување конфликти.</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однос на </w:t>
      </w:r>
      <w:r>
        <w:rPr>
          <w:rFonts w:ascii="Times New Roman" w:hAnsi="Times New Roman"/>
          <w:b/>
          <w:bCs/>
          <w:color w:val="000000"/>
          <w:sz w:val="24"/>
          <w:szCs w:val="24"/>
        </w:rPr>
        <w:t>забраната за пролиферација</w:t>
      </w:r>
      <w:r w:rsidRPr="0041357E">
        <w:rPr>
          <w:rFonts w:ascii="Times New Roman" w:hAnsi="Times New Roman"/>
          <w:color w:val="000000"/>
          <w:sz w:val="24"/>
          <w:szCs w:val="24"/>
        </w:rPr>
        <w:t>,</w:t>
      </w:r>
      <w:r>
        <w:rPr>
          <w:rFonts w:ascii="Times New Roman" w:hAnsi="Times New Roman"/>
          <w:b/>
          <w:bCs/>
          <w:color w:val="000000"/>
          <w:sz w:val="24"/>
          <w:szCs w:val="24"/>
        </w:rPr>
        <w:t xml:space="preserve"> </w:t>
      </w:r>
      <w:r>
        <w:rPr>
          <w:rFonts w:ascii="Times New Roman" w:hAnsi="Times New Roman"/>
          <w:color w:val="000000"/>
          <w:sz w:val="24"/>
          <w:szCs w:val="24"/>
        </w:rPr>
        <w:t xml:space="preserve">Северна Македонија продолжи со спроведување на Регионалниот патоказ за 2018 година за одржливо решение за нелегално поседување, злоупотреба и трговија со </w:t>
      </w:r>
      <w:r>
        <w:rPr>
          <w:rFonts w:ascii="Times New Roman" w:hAnsi="Times New Roman"/>
          <w:b/>
          <w:bCs/>
          <w:color w:val="000000"/>
          <w:sz w:val="24"/>
          <w:szCs w:val="24"/>
        </w:rPr>
        <w:t xml:space="preserve">мало и лесно оружје </w:t>
      </w:r>
      <w:r w:rsidRPr="0041357E">
        <w:rPr>
          <w:rFonts w:ascii="Times New Roman" w:hAnsi="Times New Roman"/>
          <w:color w:val="000000"/>
          <w:sz w:val="24"/>
          <w:szCs w:val="24"/>
        </w:rPr>
        <w:t>и</w:t>
      </w:r>
      <w:r>
        <w:rPr>
          <w:rFonts w:ascii="Times New Roman" w:hAnsi="Times New Roman"/>
          <w:b/>
          <w:bCs/>
          <w:color w:val="000000"/>
          <w:sz w:val="24"/>
          <w:szCs w:val="24"/>
        </w:rPr>
        <w:t xml:space="preserve"> </w:t>
      </w:r>
      <w:r>
        <w:rPr>
          <w:rFonts w:ascii="Times New Roman" w:hAnsi="Times New Roman"/>
          <w:color w:val="000000"/>
          <w:sz w:val="24"/>
          <w:szCs w:val="24"/>
        </w:rPr>
        <w:t>муниција за него во Западен Балкан, а во октомври 2022 година донесе Национална стратегија и Акциски план за контрола на мало и лесно оружје за 2022-2024 година.</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Северна Македонија учествува во некои, но не во сите меѓународни договори и инструменти за контрола на извоз. Земјата учествува во Иницијативата за безбедност од пролиферација и во Хашкиот кодекс на однесување. Земјата е посветена да ги исполни барањата за да се приклучи на Васенарскиот договор. Законот за забрана на развивање, производство, складирање и употреба на хемиски оружја, ги спроведува обврските од Конвенцијата за хемиски оружја и обезбедува воспоставување меѓусекторски комитет задолжен за неговото административно спроведување.</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Северна Македонија ја продолжи својата активна </w:t>
      </w:r>
      <w:r>
        <w:rPr>
          <w:rFonts w:ascii="Times New Roman" w:hAnsi="Times New Roman"/>
          <w:b/>
          <w:bCs/>
          <w:color w:val="000000"/>
          <w:sz w:val="24"/>
          <w:szCs w:val="24"/>
        </w:rPr>
        <w:t>соработка со меѓународни организации</w:t>
      </w:r>
      <w:r>
        <w:rPr>
          <w:rFonts w:ascii="Times New Roman" w:hAnsi="Times New Roman"/>
          <w:color w:val="000000"/>
          <w:sz w:val="24"/>
          <w:szCs w:val="24"/>
        </w:rPr>
        <w:t>. Нејзините приоритети во ОН се во согласност со важните приоритети на ЕУ, вклучувајќи ги безбедноста, заштитата на човековите права и климата, борбата против насилниот екстремизам, спроведувањето на Резолуцијата за жените, мирот и безбедноста, промовирање на улогата и на учеството на жената и зајакнување на улогата на младите. Вториот акциски план за спроведување на Резолуцијата 1325 на Советот за безбедност го следи работна група што го објави вториот извештај во април 2023 година. Во јануари 2023 година, земјата зазеде позиција на претседавач на Организацијата за безбедност и соработка во Европа (ОБСЕ) со фокус на безбедноста на луѓето. Оттогаш, таа активно ги промовира европските стандарди и вредности и се стреми да одговори на заканите што произлегуваат од руската агресија врз Украина. Во 2023 година Северна Македонија го презеде претседавањето со САД – Јадранската повелба. Во март 2023 година, Албанија, Северна Македонија, Косово и Црна Гора ја формираа неформалната „Западнобалканска четворка – 100 % усогласеност со ЗНБП на ЕУ“, платформа чија цел е да го олесни нивното целосно усогласување со ЗНБП на ЕУ.</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однос на </w:t>
      </w:r>
      <w:r>
        <w:rPr>
          <w:rFonts w:ascii="Times New Roman" w:hAnsi="Times New Roman"/>
          <w:b/>
          <w:bCs/>
          <w:color w:val="000000"/>
          <w:sz w:val="24"/>
          <w:szCs w:val="24"/>
        </w:rPr>
        <w:t>безбедносните мерки</w:t>
      </w:r>
      <w:r>
        <w:rPr>
          <w:rFonts w:ascii="Times New Roman" w:hAnsi="Times New Roman"/>
          <w:color w:val="000000"/>
          <w:sz w:val="24"/>
          <w:szCs w:val="24"/>
        </w:rPr>
        <w:t>, во сила е Законот за класифицирани информации, врз основа на Одлуката на Советот од 2013 година. Воспоставено е законодавството во однос на спроведување инспекција и надзор на работата што вклучува доверливи информации, како и во однос на безбедноста на кадарот. Северна Македонија продолжи</w:t>
      </w:r>
      <w:r>
        <w:rPr>
          <w:rFonts w:ascii="Times New Roman" w:hAnsi="Times New Roman"/>
          <w:sz w:val="24"/>
          <w:szCs w:val="24"/>
        </w:rPr>
        <w:t xml:space="preserve"> </w:t>
      </w:r>
      <w:r>
        <w:rPr>
          <w:rFonts w:ascii="Times New Roman" w:hAnsi="Times New Roman"/>
          <w:color w:val="000000"/>
          <w:sz w:val="24"/>
          <w:szCs w:val="24"/>
        </w:rPr>
        <w:t xml:space="preserve">да го извршува Договорот за </w:t>
      </w:r>
      <w:r w:rsidR="00120123">
        <w:rPr>
          <w:rFonts w:ascii="Times New Roman" w:hAnsi="Times New Roman"/>
          <w:color w:val="000000"/>
          <w:sz w:val="24"/>
          <w:szCs w:val="24"/>
        </w:rPr>
        <w:t xml:space="preserve">безбедност на </w:t>
      </w:r>
      <w:r>
        <w:rPr>
          <w:rFonts w:ascii="Times New Roman" w:hAnsi="Times New Roman"/>
          <w:color w:val="000000"/>
          <w:sz w:val="24"/>
          <w:szCs w:val="24"/>
        </w:rPr>
        <w:t>информации со ЕУ во поглед на постапките што се однесуваат на размената на класифицирани информации.</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однос на </w:t>
      </w:r>
      <w:r>
        <w:rPr>
          <w:rFonts w:ascii="Times New Roman" w:hAnsi="Times New Roman"/>
          <w:b/>
          <w:bCs/>
          <w:color w:val="000000"/>
          <w:sz w:val="24"/>
          <w:szCs w:val="24"/>
        </w:rPr>
        <w:t xml:space="preserve">заедничката безбедносна и одбранбена политика </w:t>
      </w:r>
      <w:r>
        <w:rPr>
          <w:rFonts w:ascii="Times New Roman" w:hAnsi="Times New Roman"/>
          <w:color w:val="000000"/>
          <w:sz w:val="24"/>
          <w:szCs w:val="24"/>
        </w:rPr>
        <w:t>(ЗБОП), земјата продолжи активно да учествува и значително да придонесува во операциите на ЕУ за управување со кризи, особено ЕУФОР АЛТЕА во Босна и Херцеговина. Северна Македонија учествува во мисијата за воена обука во Централноафриканската Република (ЕУТМ РЦА) и во борбената група на ЕУ, ХЕЛБРОЦ БГ, со еден вод. Северна Македонија учествува во помошната мерка на Балканските медицински наменски сили при ЕМФ. Северна Македонија учествуваше во Динамичното ангажирање сили во Европа за вежбата на НАТО за одвраќање и подобрена одбрана за 2023 година и беше присутна во мисиите на „КФОР“ на НАТО во Косово, Мисијата на НАТО во Ирак (МНИ) и Засилено напредно присуство на Балтикот (eFP). Земјата продолжува да учествува во операцијата на Привремените сили на Обединетите нации во Либан со тројца припадници на армијата. За време на извештајниот период, Северна Македонија ѝ обезбеди значителна воена опрема на Украина.</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Северна Македонија учествува во помошната мерка на Балканските медицински наменски сили при Европскиот мировен фонд и ја користи помошната мерка за Армијата на Северна Македонија.</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Земјата ја почна постапката за приклучување во Европскиот центар за извонредност </w:t>
      </w:r>
      <w:r w:rsidR="00120123">
        <w:rPr>
          <w:rFonts w:ascii="Times New Roman" w:hAnsi="Times New Roman"/>
          <w:color w:val="000000"/>
          <w:sz w:val="24"/>
          <w:szCs w:val="24"/>
        </w:rPr>
        <w:t>за справување со</w:t>
      </w:r>
      <w:r>
        <w:rPr>
          <w:rFonts w:ascii="Times New Roman" w:hAnsi="Times New Roman"/>
          <w:color w:val="000000"/>
          <w:sz w:val="24"/>
          <w:szCs w:val="24"/>
        </w:rPr>
        <w:t xml:space="preserve"> </w:t>
      </w:r>
      <w:r>
        <w:rPr>
          <w:rFonts w:ascii="Times New Roman" w:hAnsi="Times New Roman"/>
          <w:b/>
          <w:bCs/>
          <w:color w:val="000000"/>
          <w:sz w:val="24"/>
          <w:szCs w:val="24"/>
        </w:rPr>
        <w:t>хибридни закани</w:t>
      </w:r>
      <w:r>
        <w:rPr>
          <w:rFonts w:ascii="Times New Roman" w:hAnsi="Times New Roman"/>
          <w:color w:val="000000"/>
          <w:sz w:val="24"/>
          <w:szCs w:val="24"/>
        </w:rPr>
        <w:t xml:space="preserve">, кој се наоѓа во Хелсинки. Почнувајќи од октомври 2022 година, во период од 5 месеци земјата беше цел на континуирана кампања на лажни закани со бомби во училиштата и на клучната инфраструктура. Надлежните органи ги класифицираа овие настани како хибридни закани. Како резултат на нападите, Советот за координација на безбедносно-разузнавачката заедница формираше оперативен тим за </w:t>
      </w:r>
      <w:bookmarkStart w:id="119" w:name="_Hlk150779276"/>
      <w:r>
        <w:rPr>
          <w:rFonts w:ascii="Times New Roman" w:hAnsi="Times New Roman"/>
          <w:color w:val="000000"/>
          <w:sz w:val="24"/>
          <w:szCs w:val="24"/>
        </w:rPr>
        <w:t>сајбер</w:t>
      </w:r>
      <w:r w:rsidR="00652875">
        <w:rPr>
          <w:rFonts w:ascii="Times New Roman" w:hAnsi="Times New Roman"/>
          <w:color w:val="000000"/>
          <w:sz w:val="24"/>
          <w:szCs w:val="24"/>
        </w:rPr>
        <w:t xml:space="preserve"> </w:t>
      </w:r>
      <w:r>
        <w:rPr>
          <w:rFonts w:ascii="Times New Roman" w:hAnsi="Times New Roman"/>
          <w:color w:val="000000"/>
          <w:sz w:val="24"/>
          <w:szCs w:val="24"/>
        </w:rPr>
        <w:t>безбедност</w:t>
      </w:r>
      <w:bookmarkEnd w:id="119"/>
      <w:r>
        <w:rPr>
          <w:rFonts w:ascii="Times New Roman" w:hAnsi="Times New Roman"/>
          <w:color w:val="000000"/>
          <w:sz w:val="24"/>
          <w:szCs w:val="24"/>
        </w:rPr>
        <w:t xml:space="preserve"> и хибридни закани, со кој управуваше Бирото за јавна безбедност при Министерството за внатрешни работи. Северна Македонија го заврши истражувањето на ЕУ за хибридни ризици, со цел да се идентификуваат системските ранливости и да се обезбеди помош од ЕУ во оваа област.</w:t>
      </w:r>
    </w:p>
    <w:p w:rsidR="00C82BEE" w:rsidRPr="0031470B" w:rsidRDefault="00C82BEE" w:rsidP="008D6AE4">
      <w:pPr>
        <w:pStyle w:val="Heading2"/>
      </w:pPr>
      <w:bookmarkStart w:id="120" w:name="bookmark67"/>
      <w:bookmarkStart w:id="121" w:name="_Toc150864293"/>
      <w:r>
        <w:t>А</w:t>
      </w:r>
      <w:bookmarkEnd w:id="120"/>
      <w:r>
        <w:t>некс I – Односи помеѓу ЕУ и Северна Македонија</w:t>
      </w:r>
      <w:bookmarkEnd w:id="121"/>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Северна Македонија е земја кандидат од 2005 година. На 26 март 2020 година, Европскиот совет ја одобри одлуката на Советот за отворање на пристапните преговори со Северна Македонија. Првата меѓувладина конференција се одржа на 19 јули 2022 година, по одобрувањето на преговарачката рамка од страна на Советот. Истиот ден, Комисијата го почна скрининг-процесот.</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Северна Македонија учествува во </w:t>
      </w:r>
      <w:r>
        <w:rPr>
          <w:rFonts w:ascii="Times New Roman" w:hAnsi="Times New Roman"/>
          <w:b/>
          <w:bCs/>
          <w:color w:val="000000"/>
          <w:sz w:val="24"/>
          <w:szCs w:val="24"/>
        </w:rPr>
        <w:t xml:space="preserve">процесот на стабилизација и асоцијација </w:t>
      </w:r>
      <w:r>
        <w:rPr>
          <w:rFonts w:ascii="Times New Roman" w:hAnsi="Times New Roman"/>
          <w:color w:val="000000"/>
          <w:sz w:val="24"/>
          <w:szCs w:val="24"/>
        </w:rPr>
        <w:t>од 1999 година. Спогодбата за стабилизација и асоцијација (ССА) со ЕУ, потпишана во 2001 година и во сила од 2004 година, ја поставува рамката за односите со ЕУ вклучувајќи го и политичкиот, економскиот и техничкиот дијалог. Експертите се состанаа во седум поткомитети и една посебна група, во согласност со распоредот. Советот за стабилизација и асоцијација се одржа во март 2023 година во Скопје.</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b/>
          <w:bCs/>
          <w:color w:val="000000"/>
          <w:sz w:val="24"/>
          <w:szCs w:val="24"/>
        </w:rPr>
        <w:t xml:space="preserve">Визната либерализација </w:t>
      </w:r>
      <w:r>
        <w:rPr>
          <w:rFonts w:ascii="Times New Roman" w:hAnsi="Times New Roman"/>
          <w:color w:val="000000"/>
          <w:sz w:val="24"/>
          <w:szCs w:val="24"/>
        </w:rPr>
        <w:t>за граѓаните на Северна Македонија што патуваат во Шенген-зоната е во сила од декември 2009 година. Договорот за реадмисија е во сила од 2008 година. Во петтиот извештај на Комисијата, во согласност со механизмот за суспензија на визниот режим, се заклучи дека Северна Македонија продолжува да ги исполнува одредниците за визната либерализација.</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Во текот на извештајниот период, Северна Македонија одржа целосна усогласеност со </w:t>
      </w:r>
      <w:r w:rsidRPr="0041357E">
        <w:rPr>
          <w:rFonts w:ascii="Times New Roman" w:hAnsi="Times New Roman"/>
          <w:b/>
          <w:bCs/>
          <w:color w:val="000000"/>
          <w:sz w:val="24"/>
          <w:szCs w:val="24"/>
        </w:rPr>
        <w:t>заедничката надворешна и безбедносна политика на</w:t>
      </w:r>
      <w:r>
        <w:rPr>
          <w:rFonts w:ascii="Times New Roman" w:hAnsi="Times New Roman"/>
          <w:b/>
          <w:bCs/>
          <w:smallCaps/>
          <w:color w:val="000000"/>
          <w:sz w:val="24"/>
          <w:szCs w:val="24"/>
        </w:rPr>
        <w:t xml:space="preserve"> </w:t>
      </w:r>
      <w:r>
        <w:rPr>
          <w:rFonts w:ascii="Times New Roman" w:hAnsi="Times New Roman"/>
          <w:b/>
          <w:bCs/>
          <w:color w:val="000000"/>
          <w:sz w:val="24"/>
          <w:szCs w:val="24"/>
        </w:rPr>
        <w:t>ЕУ</w:t>
      </w:r>
      <w:r>
        <w:rPr>
          <w:rFonts w:ascii="Times New Roman" w:hAnsi="Times New Roman"/>
          <w:color w:val="000000"/>
          <w:sz w:val="24"/>
          <w:szCs w:val="24"/>
        </w:rPr>
        <w:t>. Продолжи значителното учество во мисиите и операциите на ЕУ за управување со кризи.</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Според </w:t>
      </w:r>
      <w:r>
        <w:rPr>
          <w:rFonts w:ascii="Times New Roman" w:hAnsi="Times New Roman"/>
          <w:b/>
          <w:bCs/>
          <w:color w:val="000000"/>
          <w:sz w:val="24"/>
          <w:szCs w:val="24"/>
        </w:rPr>
        <w:t>Инструментот за претпристапна помош за периодот 2021 – 2027 година (</w:t>
      </w:r>
      <w:r>
        <w:rPr>
          <w:rFonts w:ascii="Times New Roman" w:hAnsi="Times New Roman"/>
          <w:b/>
          <w:bCs/>
          <w:smallCaps/>
          <w:color w:val="000000"/>
          <w:sz w:val="24"/>
          <w:szCs w:val="24"/>
        </w:rPr>
        <w:t>ИПА III</w:t>
      </w:r>
      <w:r>
        <w:rPr>
          <w:rFonts w:ascii="Times New Roman" w:hAnsi="Times New Roman"/>
          <w:b/>
          <w:bCs/>
          <w:color w:val="000000"/>
          <w:sz w:val="24"/>
          <w:szCs w:val="24"/>
        </w:rPr>
        <w:t>)</w:t>
      </w:r>
      <w:r w:rsidRPr="0041357E">
        <w:rPr>
          <w:rStyle w:val="FootnoteReference"/>
          <w:color w:val="000000"/>
          <w:szCs w:val="24"/>
        </w:rPr>
        <w:footnoteReference w:id="17"/>
      </w:r>
      <w:r w:rsidRPr="0041357E">
        <w:rPr>
          <w:rFonts w:ascii="Times New Roman" w:hAnsi="Times New Roman"/>
          <w:color w:val="000000"/>
          <w:sz w:val="24"/>
          <w:szCs w:val="24"/>
        </w:rPr>
        <w:t>,</w:t>
      </w:r>
      <w:r>
        <w:rPr>
          <w:rFonts w:ascii="Times New Roman" w:hAnsi="Times New Roman"/>
          <w:b/>
          <w:bCs/>
          <w:color w:val="000000"/>
          <w:sz w:val="24"/>
          <w:szCs w:val="24"/>
        </w:rPr>
        <w:t xml:space="preserve"> </w:t>
      </w:r>
      <w:r>
        <w:rPr>
          <w:rFonts w:ascii="Times New Roman" w:hAnsi="Times New Roman"/>
          <w:color w:val="000000"/>
          <w:sz w:val="24"/>
          <w:szCs w:val="24"/>
        </w:rPr>
        <w:t xml:space="preserve">на крајот од 2021 година беше донесена првата одлука за финансирање од 90,45 милиони евра, со која се обезбедува поддршка за пристапувањето во ЕУ и за закрепнувањето по кризата со КОВИД-19, како и за подобрување на реформите во земјата во областа на владеењето на правото, борбата против корупцијата и организираниот криминал, заштитата на животната средина, одржливиот економски развој и олеснувањето на трговијата со ЕУ. На крајот на 2022 година беше донесена втората одлука за финансирање од 72,5 милиони евра, со која се обезбедува поддршка за реформите на земјата во областите на управување со границите и миграциите, јавна администрација, здравје, социјална заштита и родова еднаквост и со која се поддржува пристапниот процес на ЕУ. На Самитот ЕУ-Западен Балкан во Тирана одржан во декември 2022 година, Комисијата предложи </w:t>
      </w:r>
      <w:r>
        <w:rPr>
          <w:rFonts w:ascii="Times New Roman" w:hAnsi="Times New Roman"/>
          <w:b/>
          <w:bCs/>
          <w:color w:val="000000"/>
          <w:sz w:val="24"/>
          <w:szCs w:val="24"/>
        </w:rPr>
        <w:t xml:space="preserve">Пакет за енергетска поддршка </w:t>
      </w:r>
      <w:r>
        <w:rPr>
          <w:rFonts w:ascii="Times New Roman" w:hAnsi="Times New Roman"/>
          <w:color w:val="000000"/>
          <w:sz w:val="24"/>
          <w:szCs w:val="24"/>
        </w:rPr>
        <w:t>од 1 милијарда евра за земјите од Западен Балкан, со кој ќе се одговори на итните, на краткорочните и на среднорочните потреби во регионот и во контекстот на енергетската криза и руската агресија врз Украина. По оваа најава, на крајот на 2022 година е донесена Програма за поддршка на Северна Македонија во износ од 80 милиони евра за да се ублажи растот на цените на електричната енергија за МСП и за ранливите домаќинства, како и да се забрза енергетската диверзификација.</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Овие програми, надополнети со значителен пакет програми за повеќе земји и со Програмата за рурален развој од 97 милиони евра (ИПАРД III), обезбедуваат значаен придонес за спроведувањето на </w:t>
      </w:r>
      <w:r>
        <w:rPr>
          <w:rFonts w:ascii="Times New Roman" w:hAnsi="Times New Roman"/>
          <w:b/>
          <w:bCs/>
          <w:color w:val="000000"/>
          <w:sz w:val="24"/>
          <w:szCs w:val="24"/>
        </w:rPr>
        <w:t>Економскиот и инвестициски план за Западен Балкан и Зелената агенда</w:t>
      </w:r>
      <w:r>
        <w:rPr>
          <w:rFonts w:ascii="Times New Roman" w:hAnsi="Times New Roman"/>
          <w:color w:val="000000"/>
          <w:sz w:val="24"/>
          <w:szCs w:val="24"/>
        </w:rPr>
        <w:t>. Северна Македонија има корист од комплементарната поддршка за граѓанското општество и управувањето со миграции. Северна Македонија учествува и во програми за прекугранична соработка, програми за транснационална соработка и програми на Унијата.</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Новите активности се надоврзуваат на тековните програми според </w:t>
      </w:r>
      <w:r>
        <w:rPr>
          <w:rFonts w:ascii="Times New Roman" w:hAnsi="Times New Roman"/>
          <w:b/>
          <w:bCs/>
          <w:smallCaps/>
          <w:color w:val="000000"/>
          <w:sz w:val="24"/>
          <w:szCs w:val="24"/>
        </w:rPr>
        <w:t xml:space="preserve">ИПА II </w:t>
      </w:r>
      <w:r>
        <w:rPr>
          <w:rFonts w:ascii="Times New Roman" w:hAnsi="Times New Roman"/>
          <w:b/>
          <w:bCs/>
          <w:color w:val="000000"/>
          <w:sz w:val="24"/>
          <w:szCs w:val="24"/>
        </w:rPr>
        <w:t>(2014-2020)</w:t>
      </w:r>
      <w:r>
        <w:rPr>
          <w:rFonts w:ascii="Times New Roman" w:hAnsi="Times New Roman"/>
          <w:color w:val="000000"/>
          <w:sz w:val="24"/>
          <w:szCs w:val="24"/>
        </w:rPr>
        <w:t>. Постигнат е напредок во спроведувањето на ИПА II, која сè уште обезбедува значителна поддршка за општествениот и за економскиот развој на земјата и придонесува за клучните</w:t>
      </w:r>
      <w:r>
        <w:rPr>
          <w:rFonts w:ascii="Times New Roman" w:hAnsi="Times New Roman"/>
          <w:sz w:val="24"/>
          <w:szCs w:val="24"/>
        </w:rPr>
        <w:t xml:space="preserve"> </w:t>
      </w:r>
      <w:r>
        <w:rPr>
          <w:rFonts w:ascii="Times New Roman" w:hAnsi="Times New Roman"/>
          <w:color w:val="000000"/>
          <w:sz w:val="24"/>
          <w:szCs w:val="24"/>
        </w:rPr>
        <w:t>структурни реформи. Во основа, тековната помош од ЕУ продолжи да ги поддржува реформите во областите на владеење на законот, јавната администрација и јавните финансии и ја подобри борбата против корупцијата. Со помошта од ЕУ, почна реорганизацијата на држав</w:t>
      </w:r>
      <w:r w:rsidR="00120123">
        <w:rPr>
          <w:rFonts w:ascii="Times New Roman" w:hAnsi="Times New Roman"/>
          <w:color w:val="000000"/>
          <w:sz w:val="24"/>
          <w:szCs w:val="24"/>
        </w:rPr>
        <w:t>н</w:t>
      </w:r>
      <w:r>
        <w:rPr>
          <w:rFonts w:ascii="Times New Roman" w:hAnsi="Times New Roman"/>
          <w:color w:val="000000"/>
          <w:sz w:val="24"/>
          <w:szCs w:val="24"/>
        </w:rPr>
        <w:t>ите институции на централно ниво, а дигиталната трансформација на земјата напредуваше со тоа што беа воспоставени 230 целосно автоматизирани јавни е-услуги за граѓаните и за бизнисите. Програмата Гаранција за млади, поддржана од ЕУ, обезбеди придобивки за повеќе од 9.400 млади лица во регионите што се соочуваат со највисока стапка на невработеност кај младите, а образованието беше подобрено за децата Роми и за децата со попреченост. ЕУ ѝ додели значителна финансиска помош на Северна Македонија за заштита на животната средина и за зајакнување на поврзаноста со транспортните системи на ЕУ, вклучително и државниот пат А2 Куманово – Страцин (Коридор VIII) и новиот експресен пат Градско – Дреново (Коридор X). Медиумите, граѓанското општество и приватниот сектор продолжуваат да имаат придобивки од важната помош на ЕУ, што обезбедува можности за раст и развој во поволна средина. Поддршката на ЕУ за приватниот сектор ја искористија повеќе од 5.000 компании, создаде над 1.300 нови работни места и осигури над 15.000 работни места во ризик, од кои 70% во еколошки бизниси.</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b/>
          <w:bCs/>
          <w:color w:val="000000"/>
          <w:sz w:val="24"/>
          <w:szCs w:val="24"/>
        </w:rPr>
        <w:t xml:space="preserve">Инвестициската рамка за Западен Балкан </w:t>
      </w:r>
      <w:r>
        <w:rPr>
          <w:rFonts w:ascii="Times New Roman" w:hAnsi="Times New Roman"/>
          <w:color w:val="000000"/>
          <w:sz w:val="24"/>
          <w:szCs w:val="24"/>
        </w:rPr>
        <w:t>(WBIF) ѝ помогна на Северна Македонија со поддршка во износ од 296,7 милиони евра обезбедени како грантови од ИПА III за водечки проекти во областа на чиста енергија, животна средина и клима и одржлив транспорт.</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На 12 јули 2023 година, со оглед на големата потреба на земјата за финансирање во текот на 2023 и 2024 година, на барање на Владата, Советот и Европскиот парламент го поддржаа предлогот на Комисијата за </w:t>
      </w:r>
      <w:r>
        <w:rPr>
          <w:rFonts w:ascii="Times New Roman" w:hAnsi="Times New Roman"/>
          <w:b/>
          <w:bCs/>
          <w:color w:val="000000"/>
          <w:sz w:val="24"/>
          <w:szCs w:val="24"/>
        </w:rPr>
        <w:t xml:space="preserve">макрофинансиска помош </w:t>
      </w:r>
      <w:r>
        <w:rPr>
          <w:rFonts w:ascii="Times New Roman" w:hAnsi="Times New Roman"/>
          <w:color w:val="000000"/>
          <w:sz w:val="24"/>
          <w:szCs w:val="24"/>
        </w:rPr>
        <w:t>на Северна Македонија во износ до 100 милиони евра. Може да следуваат плаќања, под услов да бидат соодветно исполнети барањата приложени на оваа помош.</w:t>
      </w:r>
    </w:p>
    <w:p w:rsidR="00C82BEE" w:rsidRPr="0031470B" w:rsidRDefault="00C82BEE"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 xml:space="preserve">Советот на Европската Унија донесе помошна мерка во рамките на </w:t>
      </w:r>
      <w:r>
        <w:rPr>
          <w:rFonts w:ascii="Times New Roman" w:hAnsi="Times New Roman"/>
          <w:b/>
          <w:bCs/>
          <w:color w:val="000000"/>
          <w:sz w:val="24"/>
          <w:szCs w:val="24"/>
        </w:rPr>
        <w:t xml:space="preserve">Европскиот мировен фонд </w:t>
      </w:r>
      <w:r>
        <w:rPr>
          <w:rFonts w:ascii="Times New Roman" w:hAnsi="Times New Roman"/>
          <w:color w:val="000000"/>
          <w:sz w:val="24"/>
          <w:szCs w:val="24"/>
        </w:rPr>
        <w:t>во вредност од 9 милиони евра што треба да ѝ помогнат на Армијата на Северна Македонија, а оваа мерка ќе ѝ помогне на армијата да ги одржи и да ги подобри оперативните стандарди за учество во воените мисии за ЗБОП на ЕУ. Предложената поддршка ќе вклучува логистика, медицинска опрема, комуникациски и информациски системи, разузнавачки капацитети, заштита од хемиски, биолошки, радиолошки и нуклеарни закани (АБХО), инженерска опрема и опрема за обука.</w:t>
      </w:r>
    </w:p>
    <w:p w:rsidR="00C82BEE" w:rsidRPr="00F958A8" w:rsidRDefault="00C82BEE" w:rsidP="0041357E">
      <w:pPr>
        <w:shd w:val="clear" w:color="auto" w:fill="FFFFFF"/>
        <w:spacing w:before="120" w:after="120" w:line="240" w:lineRule="auto"/>
        <w:jc w:val="both"/>
      </w:pPr>
      <w:r>
        <w:rPr>
          <w:rFonts w:ascii="Times New Roman" w:hAnsi="Times New Roman"/>
          <w:color w:val="000000"/>
          <w:sz w:val="24"/>
          <w:szCs w:val="24"/>
        </w:rPr>
        <w:t xml:space="preserve">ЕУ обезбедува поддршка преку ИПА и Инструментот за надворешни политики за да ја зајакне отпорноста на партнерите на Западен Балкан да се соочат со хибридните закани, вклучително и </w:t>
      </w:r>
      <w:bookmarkStart w:id="122" w:name="_Hlk150781406"/>
      <w:r>
        <w:rPr>
          <w:rFonts w:ascii="Times New Roman" w:hAnsi="Times New Roman"/>
          <w:color w:val="000000"/>
          <w:sz w:val="24"/>
          <w:szCs w:val="24"/>
        </w:rPr>
        <w:t>сајбер</w:t>
      </w:r>
      <w:r w:rsidR="0041357E">
        <w:rPr>
          <w:rFonts w:ascii="Times New Roman" w:hAnsi="Times New Roman"/>
          <w:color w:val="000000"/>
          <w:sz w:val="24"/>
          <w:szCs w:val="24"/>
        </w:rPr>
        <w:t xml:space="preserve"> </w:t>
      </w:r>
      <w:r>
        <w:rPr>
          <w:rFonts w:ascii="Times New Roman" w:hAnsi="Times New Roman"/>
          <w:color w:val="000000"/>
          <w:sz w:val="24"/>
          <w:szCs w:val="24"/>
        </w:rPr>
        <w:t>заканите</w:t>
      </w:r>
      <w:bookmarkEnd w:id="122"/>
      <w:r>
        <w:rPr>
          <w:rFonts w:ascii="Times New Roman" w:hAnsi="Times New Roman"/>
          <w:color w:val="000000"/>
          <w:sz w:val="24"/>
          <w:szCs w:val="24"/>
        </w:rPr>
        <w:t xml:space="preserve"> и надворешното вмешување и манипулирање со информации.</w:t>
      </w:r>
    </w:p>
    <w:p w:rsidR="00C82BEE" w:rsidRDefault="00C82BEE">
      <w:pPr>
        <w:spacing w:after="160" w:line="259" w:lineRule="auto"/>
      </w:pPr>
      <w:r>
        <w:br w:type="page"/>
      </w:r>
    </w:p>
    <w:p w:rsidR="00FB31F5" w:rsidRDefault="00FB31F5" w:rsidP="008D6AE4">
      <w:pPr>
        <w:shd w:val="clear" w:color="auto" w:fill="FFFFFF"/>
        <w:spacing w:before="120" w:after="120" w:line="240" w:lineRule="auto"/>
        <w:jc w:val="both"/>
        <w:rPr>
          <w:rFonts w:ascii="Times New Roman" w:hAnsi="Times New Roman"/>
          <w:sz w:val="24"/>
          <w:szCs w:val="24"/>
        </w:rPr>
        <w:sectPr w:rsidR="00FB31F5" w:rsidSect="006B2E1F">
          <w:headerReference w:type="default" r:id="rId13"/>
          <w:pgSz w:w="11906" w:h="16838"/>
          <w:pgMar w:top="1440" w:right="1440" w:bottom="1440" w:left="1440" w:header="227" w:footer="720" w:gutter="0"/>
          <w:cols w:space="720"/>
          <w:docGrid w:linePitch="360"/>
        </w:sectPr>
      </w:pPr>
    </w:p>
    <w:p w:rsidR="00C82BEE" w:rsidRPr="00CE210C" w:rsidRDefault="00C82BEE" w:rsidP="008D6AE4">
      <w:pPr>
        <w:shd w:val="clear" w:color="auto" w:fill="FFFFFF"/>
        <w:spacing w:before="120" w:after="120" w:line="240" w:lineRule="auto"/>
        <w:jc w:val="both"/>
        <w:rPr>
          <w:rFonts w:ascii="Times New Roman" w:hAnsi="Times New Roman"/>
          <w:sz w:val="24"/>
          <w:szCs w:val="24"/>
        </w:rPr>
      </w:pPr>
    </w:p>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b/>
          <w:bCs/>
          <w:sz w:val="24"/>
          <w:szCs w:val="24"/>
        </w:rPr>
        <w:t>СТАТИСТИЧКИ ПОДАТОЦИ (од 31</w:t>
      </w:r>
      <w:r w:rsidRPr="00CE210C">
        <w:rPr>
          <w:rFonts w:ascii="Times New Roman" w:hAnsi="Times New Roman"/>
          <w:b/>
          <w:bCs/>
          <w:sz w:val="24"/>
          <w:szCs w:val="24"/>
          <w:lang w:val="en-US"/>
        </w:rPr>
        <w:t>.8.</w:t>
      </w:r>
      <w:r w:rsidRPr="00CE210C">
        <w:rPr>
          <w:rFonts w:ascii="Times New Roman" w:hAnsi="Times New Roman"/>
          <w:b/>
          <w:bCs/>
          <w:sz w:val="24"/>
          <w:szCs w:val="24"/>
        </w:rPr>
        <w:t>2023)</w:t>
      </w:r>
      <w:r w:rsidRPr="00CE210C">
        <w:rPr>
          <w:rFonts w:ascii="Times New Roman" w:hAnsi="Times New Roman"/>
          <w:b/>
          <w:bCs/>
          <w:color w:val="000000"/>
          <w:sz w:val="24"/>
          <w:szCs w:val="24"/>
        </w:rPr>
        <w:t xml:space="preserve"> </w:t>
      </w:r>
      <w:r w:rsidRPr="00CE210C">
        <w:rPr>
          <w:rFonts w:ascii="Times New Roman" w:hAnsi="Times New Roman"/>
          <w:b/>
          <w:bCs/>
          <w:color w:val="FF0000"/>
          <w:sz w:val="24"/>
          <w:szCs w:val="24"/>
        </w:rPr>
        <w:t>Северна Македонија</w:t>
      </w:r>
    </w:p>
    <w:tbl>
      <w:tblPr>
        <w:tblW w:w="0" w:type="auto"/>
        <w:tblInd w:w="40" w:type="dxa"/>
        <w:tblLayout w:type="fixed"/>
        <w:tblCellMar>
          <w:left w:w="40" w:type="dxa"/>
          <w:right w:w="40" w:type="dxa"/>
        </w:tblCellMar>
        <w:tblLook w:val="0000" w:firstRow="0" w:lastRow="0" w:firstColumn="0" w:lastColumn="0" w:noHBand="0" w:noVBand="0"/>
      </w:tblPr>
      <w:tblGrid>
        <w:gridCol w:w="6811"/>
        <w:gridCol w:w="566"/>
        <w:gridCol w:w="1133"/>
        <w:gridCol w:w="1138"/>
        <w:gridCol w:w="1138"/>
        <w:gridCol w:w="1133"/>
        <w:gridCol w:w="1133"/>
        <w:gridCol w:w="1142"/>
      </w:tblGrid>
      <w:tr w:rsidR="00C82BEE" w:rsidRPr="00CE210C">
        <w:trPr>
          <w:trHeight w:val="245"/>
        </w:trPr>
        <w:tc>
          <w:tcPr>
            <w:tcW w:w="6811" w:type="dxa"/>
            <w:tcBorders>
              <w:top w:val="nil"/>
              <w:left w:val="nil"/>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b/>
                <w:bCs/>
                <w:color w:val="000000"/>
                <w:sz w:val="24"/>
                <w:szCs w:val="24"/>
              </w:rPr>
              <w:t>Основни податоци</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Заб.</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2017</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2020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2021</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Население (во илјади)</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2.053 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2.074 s</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2.075 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2.077 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2.076 s</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2.069 s</w:t>
            </w:r>
          </w:p>
        </w:tc>
      </w:tr>
      <w:tr w:rsidR="00C82BEE" w:rsidRPr="00CE210C">
        <w:trPr>
          <w:trHeight w:val="235"/>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Вкупна површина на земјата (km2)</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25.436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25.436 w</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25.436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25.436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25.436 w</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25.436 w</w:t>
            </w:r>
          </w:p>
        </w:tc>
      </w:tr>
      <w:tr w:rsidR="00C82BEE" w:rsidRPr="00CE210C">
        <w:trPr>
          <w:trHeight w:val="240"/>
        </w:trPr>
        <w:tc>
          <w:tcPr>
            <w:tcW w:w="6811" w:type="dxa"/>
            <w:tcBorders>
              <w:top w:val="single" w:sz="6" w:space="0" w:color="auto"/>
              <w:left w:val="nil"/>
              <w:bottom w:val="nil"/>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699" w:type="dxa"/>
            <w:gridSpan w:val="2"/>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8"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42"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r>
      <w:tr w:rsidR="00C82BEE" w:rsidRPr="00CE210C">
        <w:trPr>
          <w:trHeight w:val="240"/>
        </w:trPr>
        <w:tc>
          <w:tcPr>
            <w:tcW w:w="6811" w:type="dxa"/>
            <w:tcBorders>
              <w:top w:val="nil"/>
              <w:left w:val="nil"/>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b/>
                <w:bCs/>
                <w:color w:val="000000"/>
                <w:sz w:val="24"/>
                <w:szCs w:val="24"/>
              </w:rPr>
              <w:t>Национални сметки</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Заб.</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2017</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2020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2021</w:t>
            </w:r>
          </w:p>
        </w:tc>
      </w:tr>
      <w:tr w:rsidR="00C82BEE" w:rsidRPr="00CE210C">
        <w:trPr>
          <w:trHeight w:val="235"/>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Бруто-домашен производ (БДП) (во милиони во националната валута)</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437.296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618.106</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660.878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692.683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669.280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720.414 p</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Бруто-домашен производ (БДП) (во милиони евра)</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7 108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10 038</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10 744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11 262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10 852</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11.688 p</w:t>
            </w:r>
          </w:p>
        </w:tc>
      </w:tr>
      <w:tr w:rsidR="00C82BEE" w:rsidRPr="00CE210C">
        <w:trPr>
          <w:trHeight w:val="235"/>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БДП (во евра по жител)</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3.460 e</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4.840 e</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5.170 e</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5.420 e</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5.240 e</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5.672 sw</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БДП по жител (во стандарди на куповна моќ (СКМ))</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8.597 e</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10.787 e</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11.389 e</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11.881 e</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11.349 e</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r>
      <w:tr w:rsidR="00C82BEE" w:rsidRPr="00CE210C">
        <w:trPr>
          <w:trHeight w:val="235"/>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БДП по жител (во СКМ), во однос на просекот на ЕУ (ЕУ-27 = 100)</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34,5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36,8</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37,6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38,0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37,8</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Реална стапка на раст на БДП: промена од претходната година на обемот на БДП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1,1</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- 4,7</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3,9 p</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Пораст на вработеноста (податоци од националните сметки), во однос на претходната година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- 7</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r>
      <w:tr w:rsidR="00C82BEE" w:rsidRPr="00CE210C">
        <w:trPr>
          <w:trHeight w:val="413"/>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Раст на продуктивноста на трудот: раст на БДП (во обем) по вработен, во однос на претходната година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- 2</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r>
      <w:tr w:rsidR="00C82BEE" w:rsidRPr="00CE210C">
        <w:trPr>
          <w:trHeight w:val="235"/>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Раст на трошоците за труд по единица, во однос на претходната година (во%)</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**3-годишна промена (T/T-3) во индексот на номиналниот раст на трошоците за труд по единица (2015 = 100)</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r>
      <w:tr w:rsidR="00C82BEE" w:rsidRPr="00CE210C">
        <w:trPr>
          <w:trHeight w:val="408"/>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Продуктивноста на трудот по вработен: БДП (во СКМ) по вработен во однос на просекот на ЕУ (ЕУ-27 = 100)</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43</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47</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Бруто-додадена вредност според главни сектори</w:t>
            </w:r>
          </w:p>
        </w:tc>
        <w:tc>
          <w:tcPr>
            <w:tcW w:w="7378" w:type="dxa"/>
            <w:gridSpan w:val="7"/>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Земјоделство, шумарство и рибарство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11,7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9,1</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9,8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9,4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9,8</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8,4 p</w:t>
            </w:r>
          </w:p>
        </w:tc>
      </w:tr>
      <w:tr w:rsidR="00C82BEE" w:rsidRPr="00CE210C">
        <w:trPr>
          <w:trHeight w:val="235"/>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Индустрија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17,9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20,5</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21,5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19,8</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19,6 p</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Градежништво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7,5</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6,3 p</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Услуги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63,9 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62,9 s</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62,6 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63,4 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64,3 s</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65,8 ps</w:t>
            </w:r>
          </w:p>
        </w:tc>
      </w:tr>
      <w:tr w:rsidR="00C82BEE" w:rsidRPr="00CE210C">
        <w:trPr>
          <w:trHeight w:val="235"/>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Расходи на финална потрошувачка, како дел од БДП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93,8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81,6</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80,1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79,5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82,8</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83,7 p</w:t>
            </w:r>
          </w:p>
        </w:tc>
      </w:tr>
      <w:tr w:rsidR="00C82BEE" w:rsidRPr="00CE210C">
        <w:trPr>
          <w:trHeight w:val="235"/>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Бруто-инвестиции во основни средства, како дел од БДП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23,1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22,5</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21,0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21,6</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22,5 p</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Промени во резервите, како дел од БДП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9,7</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12,2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13,2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8,3</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9,7 p</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AF05B3" w:rsidP="008D6AE4">
            <w:pPr>
              <w:shd w:val="clear" w:color="auto" w:fill="FFFFFF"/>
              <w:spacing w:before="120" w:after="120" w:line="240" w:lineRule="auto"/>
              <w:jc w:val="both"/>
              <w:rPr>
                <w:rFonts w:ascii="Times New Roman" w:hAnsi="Times New Roman"/>
                <w:sz w:val="24"/>
                <w:szCs w:val="24"/>
              </w:rPr>
            </w:pPr>
            <w:r>
              <w:rPr>
                <w:rFonts w:ascii="Times New Roman" w:hAnsi="Times New Roman"/>
                <w:color w:val="000000"/>
                <w:sz w:val="24"/>
                <w:szCs w:val="24"/>
              </w:rPr>
              <w:t>Извоз на стоки</w:t>
            </w:r>
            <w:r w:rsidR="00C82BEE" w:rsidRPr="00CE210C">
              <w:rPr>
                <w:rFonts w:ascii="Times New Roman" w:hAnsi="Times New Roman"/>
                <w:color w:val="000000"/>
                <w:sz w:val="24"/>
                <w:szCs w:val="24"/>
              </w:rPr>
              <w:t xml:space="preserve"> и услуги, во однос на БДП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39,8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55,1</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60,4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62,4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57,8</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66,2 p</w:t>
            </w:r>
          </w:p>
        </w:tc>
      </w:tr>
      <w:tr w:rsidR="00C82BEE" w:rsidRPr="00CE210C">
        <w:trPr>
          <w:trHeight w:val="235"/>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Увоз на стоки и услуги, во однос на БДП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58,1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69,0</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72,8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76,2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70,5</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82,3 p</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Бруто-инвестиции во основни средства од генералниот владин сектор, како процент од БДП (во</w:t>
            </w:r>
            <w:r w:rsidRPr="004004ED">
              <w:rPr>
                <w:rFonts w:ascii="Times New Roman" w:hAnsi="Times New Roman"/>
                <w:color w:val="000000"/>
                <w:sz w:val="24"/>
                <w:szCs w:val="24"/>
                <w:lang w:val="ru-RU"/>
              </w:rPr>
              <w:t xml:space="preserve"> </w:t>
            </w:r>
            <w:r w:rsidRPr="00CE210C">
              <w:rPr>
                <w:rFonts w:ascii="Times New Roman" w:hAnsi="Times New Roman"/>
                <w:color w:val="000000"/>
                <w:sz w:val="24"/>
                <w:szCs w:val="24"/>
              </w:rPr>
              <w:t>%)</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r>
      <w:tr w:rsidR="00C82BEE" w:rsidRPr="00CE210C">
        <w:trPr>
          <w:trHeight w:val="235"/>
        </w:trPr>
        <w:tc>
          <w:tcPr>
            <w:tcW w:w="6811" w:type="dxa"/>
            <w:tcBorders>
              <w:top w:val="single" w:sz="6" w:space="0" w:color="auto"/>
              <w:left w:val="nil"/>
              <w:bottom w:val="nil"/>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699" w:type="dxa"/>
            <w:gridSpan w:val="2"/>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8"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42"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r>
      <w:tr w:rsidR="00C82BEE" w:rsidRPr="00CE210C">
        <w:trPr>
          <w:trHeight w:val="240"/>
        </w:trPr>
        <w:tc>
          <w:tcPr>
            <w:tcW w:w="6811" w:type="dxa"/>
            <w:tcBorders>
              <w:top w:val="nil"/>
              <w:left w:val="nil"/>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b/>
                <w:bCs/>
                <w:color w:val="000000"/>
                <w:sz w:val="24"/>
                <w:szCs w:val="24"/>
              </w:rPr>
              <w:t>Деловна активност</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Заб.</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2017</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2020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2021</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Индекс на обемот на индустриско производство (2015 = 100)</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84,7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103,6</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109,2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113,2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102,4</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103,9</w:t>
            </w:r>
          </w:p>
        </w:tc>
      </w:tr>
      <w:tr w:rsidR="00C82BEE" w:rsidRPr="00CE210C">
        <w:trPr>
          <w:trHeight w:val="235"/>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Број активни претпријатија (број)</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56.359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55.359 w</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58.231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58.765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58.231 w</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59.122 pw</w:t>
            </w:r>
          </w:p>
        </w:tc>
      </w:tr>
      <w:tr w:rsidR="00C82BEE" w:rsidRPr="00CE210C">
        <w:trPr>
          <w:trHeight w:val="413"/>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Стапка на основање: број основани претпријатија во референтниот период (т) поделен со бројот на претпријатија што се активни во т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16,1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9,2</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8,4 b</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8,5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8,0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r>
      <w:tr w:rsidR="00C82BEE" w:rsidRPr="00CE210C">
        <w:trPr>
          <w:trHeight w:val="422"/>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Стапка на затворање: број затворени претпријатија во референтниот период (т) поделен со бројот на претпријатија што се активни во т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12,9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7,7</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7,6 b</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8,4 p</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7,3 p</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r>
      <w:tr w:rsidR="00C82BEE" w:rsidRPr="00CE210C">
        <w:trPr>
          <w:trHeight w:val="418"/>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Лица вработени во мали и средни претпријатија, како дел од сите вработени (во рамките на нефинансиската бизнис економија)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77,8 sw</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74,3 sw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74,1 sw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73,7 sw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73,9 sw</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75,0 psw</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Додадена вредност од малите и средни претпријатија (во нефинансиската бизнис економија) (во милиони евра)</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2.399 sw</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2.698 sw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2.895 sw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3.215 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3.154 sw</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3.528 psw</w:t>
            </w:r>
          </w:p>
        </w:tc>
      </w:tr>
      <w:tr w:rsidR="00C82BEE" w:rsidRPr="00CE210C">
        <w:trPr>
          <w:trHeight w:val="235"/>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Вкупна додадена вредност (во нефинансиската бизнис економија) (во милиони евра)</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3.641 w</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4.252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4.579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4.878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4.643 w</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5.089 pw</w:t>
            </w:r>
          </w:p>
        </w:tc>
      </w:tr>
      <w:tr w:rsidR="00C82BEE" w:rsidRPr="00CE210C">
        <w:trPr>
          <w:trHeight w:val="240"/>
        </w:trPr>
        <w:tc>
          <w:tcPr>
            <w:tcW w:w="6811" w:type="dxa"/>
            <w:tcBorders>
              <w:top w:val="single" w:sz="6" w:space="0" w:color="auto"/>
              <w:left w:val="nil"/>
              <w:bottom w:val="nil"/>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699" w:type="dxa"/>
            <w:gridSpan w:val="2"/>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8"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42"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r>
      <w:tr w:rsidR="00C82BEE" w:rsidRPr="00CE210C">
        <w:trPr>
          <w:trHeight w:val="235"/>
        </w:trPr>
        <w:tc>
          <w:tcPr>
            <w:tcW w:w="6811" w:type="dxa"/>
            <w:tcBorders>
              <w:top w:val="nil"/>
              <w:left w:val="nil"/>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b/>
                <w:bCs/>
                <w:color w:val="000000"/>
                <w:sz w:val="24"/>
                <w:szCs w:val="24"/>
              </w:rPr>
              <w:t>Стапка на инфлација и цени на станбени објекти</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Заб.</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2010</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2020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2021</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Усогласен индекс на потрошувачки цени (УИПЦ), промена во однос на претходната година (во%)</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1,1 d</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2,1 d</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2,3 d</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0,7 d</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1,2 d</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3,4 d</w:t>
            </w:r>
          </w:p>
        </w:tc>
      </w:tr>
      <w:tr w:rsidR="00C82BEE" w:rsidRPr="00CE210C">
        <w:trPr>
          <w:trHeight w:val="235"/>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xml:space="preserve">**Годишна промена на намален индекс на цени на </w:t>
            </w:r>
            <w:r w:rsidR="006D321A" w:rsidRPr="006D321A">
              <w:rPr>
                <w:rFonts w:ascii="Times New Roman" w:hAnsi="Times New Roman"/>
                <w:color w:val="000000"/>
                <w:sz w:val="24"/>
                <w:szCs w:val="24"/>
              </w:rPr>
              <w:t>станбени објекти</w:t>
            </w:r>
            <w:r w:rsidRPr="00CE210C">
              <w:rPr>
                <w:rFonts w:ascii="Times New Roman" w:hAnsi="Times New Roman"/>
                <w:color w:val="000000"/>
                <w:sz w:val="24"/>
                <w:szCs w:val="24"/>
              </w:rPr>
              <w:t xml:space="preserve"> (2015 = 100)</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r>
      <w:tr w:rsidR="00C82BEE" w:rsidRPr="00CE210C">
        <w:trPr>
          <w:trHeight w:val="240"/>
        </w:trPr>
        <w:tc>
          <w:tcPr>
            <w:tcW w:w="6811" w:type="dxa"/>
            <w:tcBorders>
              <w:top w:val="single" w:sz="6" w:space="0" w:color="auto"/>
              <w:left w:val="nil"/>
              <w:bottom w:val="nil"/>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699" w:type="dxa"/>
            <w:gridSpan w:val="2"/>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8"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42"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r>
      <w:tr w:rsidR="00C82BEE" w:rsidRPr="00CE210C">
        <w:trPr>
          <w:trHeight w:val="240"/>
        </w:trPr>
        <w:tc>
          <w:tcPr>
            <w:tcW w:w="6811" w:type="dxa"/>
            <w:tcBorders>
              <w:top w:val="nil"/>
              <w:left w:val="nil"/>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b/>
                <w:bCs/>
                <w:color w:val="000000"/>
                <w:sz w:val="24"/>
                <w:szCs w:val="24"/>
              </w:rPr>
              <w:t>Платен биланс</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Заб.</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2010</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2020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2021</w:t>
            </w:r>
          </w:p>
        </w:tc>
      </w:tr>
      <w:tr w:rsidR="00C82BEE" w:rsidRPr="00CE210C">
        <w:trPr>
          <w:trHeight w:val="235"/>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Платен биланс: тековна сметка вкупно (во милиони евра)</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- 78,3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22,4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- 334,7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- 318,0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- 366,4</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Платен биланс тековна сметка: трговски биланс (во милиони евра)</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- 1.787,3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- 1.736,2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- 1.948,8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- 1.803,6</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- 2.370,3</w:t>
            </w:r>
          </w:p>
        </w:tc>
      </w:tr>
      <w:tr w:rsidR="00C82BEE" w:rsidRPr="00CE210C">
        <w:trPr>
          <w:trHeight w:val="235"/>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Платен биланс тековна сметка: нето-услуги (во милиони евра)</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374,7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370,9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335,7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423,7</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495,9</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Платен биланс тековна сметка: нето-биланс за примарен приход (во милиони евра)</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- 397,5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- 450,7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- 519,6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- 411,5</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- 521,3</w:t>
            </w:r>
          </w:p>
        </w:tc>
      </w:tr>
      <w:tr w:rsidR="00C82BEE" w:rsidRPr="00CE210C">
        <w:trPr>
          <w:trHeight w:val="235"/>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Платен биланс тековна сметка: нето-биланс за секундарен приход (во милиони евра)</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1.731,8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1.838,4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1.798,0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1.473,4</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2.029,4</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Нето-биланс за примарен и за секундарен приход: од кои државни трансфери (во милиони евра)</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112,8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109,1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43,2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110,0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138,5</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**Тригодишен наназад движечки просек на билансот на тековната сметка во однос на БДП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- 1,7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- 1,1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- 1,2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- 1,9</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- 3,0</w:t>
            </w:r>
          </w:p>
        </w:tc>
      </w:tr>
      <w:tr w:rsidR="00C82BEE" w:rsidRPr="00CE210C">
        <w:trPr>
          <w:trHeight w:val="235"/>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**Петгодишна промена на уделот на светскиот извоз на стоки и услуги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41,9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51,6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38,5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38,0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25,4</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Нето-биланс (влезни-излезни) на странски директни инвестиции (СДИ) (во милиони евра)</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156,9 w</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180,0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603,7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363,3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154,7 w</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387,5 w</w:t>
            </w:r>
          </w:p>
        </w:tc>
      </w:tr>
      <w:tr w:rsidR="00C82BEE" w:rsidRPr="00CE210C">
        <w:trPr>
          <w:trHeight w:val="235"/>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Странски директни инвестиции (СДИ) во странство (во милиони евра)</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3,6 w</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1,8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10,4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35,5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46,7 w</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83,0 w</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од кои СДИ на економијата за која се известува во земјите од ЕУ-27 (во милиони евра)</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7,2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0,4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27,2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31,3 w</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59,7</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Странски директни инвестиции (СДИ) во економијата за која се известува (во милиони евра)</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160,5 w</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181,7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614,1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398,8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201,4 w</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470,5 w</w:t>
            </w:r>
          </w:p>
        </w:tc>
      </w:tr>
      <w:tr w:rsidR="00C82BEE" w:rsidRPr="00CE210C">
        <w:trPr>
          <w:trHeight w:val="235"/>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од кои СДИ на земјите од ЕУ-27 во економијата за која се известува (во милиони евра)</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103,9 w</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87,3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291,2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220,2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42,3 w</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449,7</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**Нето меѓународна инвестициска позиција, во однос на БДП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- 51,1 w</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- 58,0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- 56,2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- 57,3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- 63,6 w</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- 62,0 pw</w:t>
            </w:r>
          </w:p>
        </w:tc>
      </w:tr>
      <w:tr w:rsidR="00C82BEE" w:rsidRPr="00CE210C">
        <w:trPr>
          <w:trHeight w:val="413"/>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Годишна стапка на промена на бруто-прилив на дознаки (во национална валута) од работниците мигранти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2,8 sw</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1,9 sw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1,9 sw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r>
      <w:tr w:rsidR="00C82BEE" w:rsidRPr="00CE210C">
        <w:trPr>
          <w:trHeight w:val="235"/>
        </w:trPr>
        <w:tc>
          <w:tcPr>
            <w:tcW w:w="6811" w:type="dxa"/>
            <w:tcBorders>
              <w:top w:val="single" w:sz="6" w:space="0" w:color="auto"/>
              <w:left w:val="nil"/>
              <w:bottom w:val="nil"/>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699" w:type="dxa"/>
            <w:gridSpan w:val="2"/>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8"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42"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r>
      <w:tr w:rsidR="00C82BEE" w:rsidRPr="00CE210C">
        <w:trPr>
          <w:trHeight w:val="240"/>
        </w:trPr>
        <w:tc>
          <w:tcPr>
            <w:tcW w:w="6811" w:type="dxa"/>
            <w:tcBorders>
              <w:top w:val="nil"/>
              <w:left w:val="nil"/>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b/>
                <w:bCs/>
                <w:color w:val="000000"/>
                <w:sz w:val="24"/>
                <w:szCs w:val="24"/>
              </w:rPr>
              <w:t>Јавни финансии</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Заб.</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2010</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2020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2021</w:t>
            </w:r>
          </w:p>
        </w:tc>
      </w:tr>
      <w:tr w:rsidR="00C82BEE" w:rsidRPr="00CE210C">
        <w:trPr>
          <w:trHeight w:val="235"/>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Општ државен дефицит/суфицит, во однос на БДП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- 2,4 w</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- 2,7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- 1,8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- 2,0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- 8,1 w</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Општ државен бруто-долг, во однос на БДП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24,1 w</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39,4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40,4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40,7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51,2 w</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Вкупно државни приходи, како процент од БДП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30,2 w</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29,1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28,6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29,2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28,5 w</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r>
      <w:tr w:rsidR="00C82BEE" w:rsidRPr="00CE210C">
        <w:trPr>
          <w:trHeight w:val="235"/>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Вкупно државни расходи, како процент од БДП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32,6 w</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31,8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30,4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31,2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36,7 w</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r>
      <w:tr w:rsidR="00C82BEE" w:rsidRPr="00CE210C">
        <w:trPr>
          <w:trHeight w:val="240"/>
        </w:trPr>
        <w:tc>
          <w:tcPr>
            <w:tcW w:w="6811" w:type="dxa"/>
            <w:tcBorders>
              <w:top w:val="single" w:sz="6" w:space="0" w:color="auto"/>
              <w:left w:val="nil"/>
              <w:bottom w:val="nil"/>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699" w:type="dxa"/>
            <w:gridSpan w:val="2"/>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8"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42"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r>
      <w:tr w:rsidR="00C82BEE" w:rsidRPr="00CE210C">
        <w:trPr>
          <w:trHeight w:val="235"/>
        </w:trPr>
        <w:tc>
          <w:tcPr>
            <w:tcW w:w="6811" w:type="dxa"/>
            <w:tcBorders>
              <w:top w:val="nil"/>
              <w:left w:val="nil"/>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b/>
                <w:bCs/>
                <w:color w:val="000000"/>
                <w:sz w:val="24"/>
                <w:szCs w:val="24"/>
              </w:rPr>
              <w:t>Финансиски показатели</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Заб.</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2010</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2020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2021</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Бруто-надворешен долг на целата економија, во однос на БДП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57,8 sw</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73,4 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73,0 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72,4 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78,7 s</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81,9 ps</w:t>
            </w:r>
          </w:p>
        </w:tc>
      </w:tr>
      <w:tr w:rsidR="00C82BEE" w:rsidRPr="00CE210C">
        <w:trPr>
          <w:trHeight w:val="235"/>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Бруто-надворешен долг на целата економија, во однос на вкупниот извоз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150,5 w</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133,8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121,4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117,0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136,3 w</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123,7 pw</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Понуда на пари: M1 (банкноти, монети, депозити преку ноќ, во милиони евра)</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973,4 w</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2.053,3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2.436,7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2.857,4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3.314,2 w</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3.605,5 w</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Понуда на пари: M2 (M1 плус депозити орочени до две години, во милиони евра)</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3.318,2 w</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4.564,2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5.103,4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5.609,3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6.215,5 w</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6.864,0 w</w:t>
            </w:r>
          </w:p>
        </w:tc>
      </w:tr>
      <w:tr w:rsidR="00C82BEE" w:rsidRPr="00CE210C">
        <w:trPr>
          <w:trHeight w:val="245"/>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Понуда на пари: M3 (M2 плус инструменти што може да се пласираат на пазарот, во милиони евра)</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3.659,6 w</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5.480,3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6.072,6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6.571,1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7.070,9 w</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7.703,7 w</w:t>
            </w:r>
          </w:p>
        </w:tc>
      </w:tr>
      <w:tr w:rsidR="00C82BEE" w:rsidRPr="00CE210C">
        <w:trPr>
          <w:trHeight w:val="245"/>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Вкупен кредит од монетарни финансиски институции кон резиденти (консолидиран) (во милиони евра)</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3.148,7 w</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4.883,0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5.237,6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5.552,3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5.791,4 w</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6.277,8 w</w:t>
            </w:r>
          </w:p>
        </w:tc>
      </w:tr>
      <w:tr w:rsidR="00C82BEE" w:rsidRPr="00CE210C">
        <w:trPr>
          <w:trHeight w:val="235"/>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**Годишна промена на обврските на финансискиот сектор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1,9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7,6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12,2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6,1 w</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12,9 w</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**Приватни кредитни текови, консолидирани, во однос на БДП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r>
      <w:tr w:rsidR="00C82BEE" w:rsidRPr="00CE210C">
        <w:trPr>
          <w:trHeight w:val="235"/>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**Приватен долг, консолидиран, во однос на БДП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Каматни стапки: дневен паричен курс, годишно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3,78 w</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1,01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0,99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1,00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1,00 w</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0,88 w</w:t>
            </w:r>
          </w:p>
        </w:tc>
      </w:tr>
      <w:tr w:rsidR="00C82BEE" w:rsidRPr="00CE210C">
        <w:trPr>
          <w:trHeight w:val="235"/>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Каматна стапка на кредитирање (една година), годишна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5,50 w</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3,75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3,00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2,75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2,00 w</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1,75 w</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Каматна стапка на депозити (една година), годишна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0,25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0,15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0,15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0,15 w</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0,15 w</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Курс на еврото: просек за периодот (1 евро = … национална валута)</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61,519</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61,575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61,512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61,506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61,675</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61,636</w:t>
            </w:r>
          </w:p>
        </w:tc>
      </w:tr>
      <w:tr w:rsidR="00C82BEE" w:rsidRPr="00CE210C">
        <w:trPr>
          <w:trHeight w:val="235"/>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Индекс на трговски пондериран ефективен девизен курс, 42 земји (2015 = 100)</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r>
      <w:tr w:rsidR="00C82BEE" w:rsidRPr="00CE210C">
        <w:trPr>
          <w:trHeight w:val="413"/>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**Тригодишна промена (Т/Т-3) на индексот на трговски пондерираниот ефективен девизен курс, од 42 земји (2015 = 100)</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Вредност на резервни средства (вклучувајќи злато) (во милиони евра)</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1.714,5 w</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2.336,3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2.867,1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3.262,6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3.359,9 w</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3.643,3 w</w:t>
            </w:r>
          </w:p>
        </w:tc>
      </w:tr>
      <w:tr w:rsidR="00C82BEE" w:rsidRPr="00CE210C">
        <w:trPr>
          <w:trHeight w:val="235"/>
        </w:trPr>
        <w:tc>
          <w:tcPr>
            <w:tcW w:w="6811" w:type="dxa"/>
            <w:tcBorders>
              <w:top w:val="single" w:sz="6" w:space="0" w:color="auto"/>
              <w:left w:val="nil"/>
              <w:bottom w:val="nil"/>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566"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8"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42"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r>
      <w:tr w:rsidR="00C82BEE" w:rsidRPr="00CE210C">
        <w:trPr>
          <w:trHeight w:val="240"/>
        </w:trPr>
        <w:tc>
          <w:tcPr>
            <w:tcW w:w="6811" w:type="dxa"/>
            <w:tcBorders>
              <w:top w:val="nil"/>
              <w:left w:val="nil"/>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b/>
                <w:bCs/>
                <w:color w:val="000000"/>
                <w:sz w:val="24"/>
                <w:szCs w:val="24"/>
              </w:rPr>
              <w:t>Надворешна трговија со стоки</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Заб.</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2010</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2020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2021</w:t>
            </w:r>
          </w:p>
        </w:tc>
      </w:tr>
      <w:tr w:rsidR="00C82BEE" w:rsidRPr="00CE210C">
        <w:trPr>
          <w:trHeight w:val="235"/>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9A4D9E" w:rsidRDefault="00C82BEE" w:rsidP="008D6AE4">
            <w:pPr>
              <w:shd w:val="clear" w:color="auto" w:fill="FFFFFF"/>
              <w:spacing w:before="120" w:after="120" w:line="240" w:lineRule="auto"/>
              <w:jc w:val="both"/>
              <w:rPr>
                <w:rFonts w:ascii="Times New Roman" w:hAnsi="Times New Roman"/>
                <w:sz w:val="24"/>
                <w:szCs w:val="24"/>
              </w:rPr>
            </w:pPr>
            <w:r w:rsidRPr="009A4D9E">
              <w:rPr>
                <w:rFonts w:ascii="Times New Roman" w:hAnsi="Times New Roman"/>
                <w:color w:val="000000"/>
                <w:sz w:val="24"/>
                <w:szCs w:val="24"/>
              </w:rPr>
              <w:t>Вредност на увозот: сите стоки, сите партнери (во милиони евра)</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4.137</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6.825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7.676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8.463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7.599</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9.647</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9A4D9E" w:rsidRDefault="00C82BEE" w:rsidP="008D6AE4">
            <w:pPr>
              <w:shd w:val="clear" w:color="auto" w:fill="FFFFFF"/>
              <w:spacing w:before="120" w:after="120" w:line="240" w:lineRule="auto"/>
              <w:jc w:val="both"/>
              <w:rPr>
                <w:rFonts w:ascii="Times New Roman" w:hAnsi="Times New Roman"/>
                <w:sz w:val="24"/>
                <w:szCs w:val="24"/>
              </w:rPr>
            </w:pPr>
            <w:r w:rsidRPr="009A4D9E">
              <w:rPr>
                <w:rFonts w:ascii="Times New Roman" w:hAnsi="Times New Roman"/>
                <w:color w:val="000000"/>
                <w:sz w:val="24"/>
                <w:szCs w:val="24"/>
              </w:rPr>
              <w:t>Вредност на извозот: сите стоки, сите партнери (во милиони евра)</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2.535</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5.007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5.873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6.424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5.781</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6.969</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9A4D9E" w:rsidRDefault="00C82BEE" w:rsidP="008D6AE4">
            <w:pPr>
              <w:shd w:val="clear" w:color="auto" w:fill="FFFFFF"/>
              <w:spacing w:before="120" w:after="120" w:line="240" w:lineRule="auto"/>
              <w:jc w:val="both"/>
              <w:rPr>
                <w:rFonts w:ascii="Times New Roman" w:hAnsi="Times New Roman"/>
                <w:sz w:val="24"/>
                <w:szCs w:val="24"/>
              </w:rPr>
            </w:pPr>
            <w:r w:rsidRPr="009A4D9E">
              <w:rPr>
                <w:rFonts w:ascii="Times New Roman" w:hAnsi="Times New Roman"/>
                <w:color w:val="000000"/>
                <w:sz w:val="24"/>
                <w:szCs w:val="24"/>
              </w:rPr>
              <w:t>Трговски биланс: сите стоки, сите партнери (во милиони евра)</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- 1.602</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- 1.818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- 1.804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- 2.040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- 1.818</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- 2.678</w:t>
            </w:r>
          </w:p>
        </w:tc>
      </w:tr>
      <w:tr w:rsidR="00C82BEE" w:rsidRPr="00CE210C">
        <w:trPr>
          <w:trHeight w:val="235"/>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Услови на трговија (ценовен индекс на извозот / ценовен индекс на увозот * 100) (во број)</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98,6 sw</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95,3 sw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94,9 sw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95,3 sw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102,4 sw</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Удел на извозот кон земји од ЕУ-27 во вредност на вкупниот извоз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63,7 s</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79,7 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80,3 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78,5 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77,5 s</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77,1 s</w:t>
            </w:r>
          </w:p>
        </w:tc>
      </w:tr>
      <w:tr w:rsidR="00C82BEE" w:rsidRPr="00CE210C">
        <w:trPr>
          <w:trHeight w:val="235"/>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Удел на увозот од земји од ЕУ-27 во вредност на вкупниот увоз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50,0 s</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52,8 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52,9 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50,8 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46,3 s</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46,2 s</w:t>
            </w:r>
          </w:p>
        </w:tc>
      </w:tr>
      <w:tr w:rsidR="00C82BEE" w:rsidRPr="00CE210C">
        <w:trPr>
          <w:trHeight w:val="240"/>
        </w:trPr>
        <w:tc>
          <w:tcPr>
            <w:tcW w:w="6811" w:type="dxa"/>
            <w:tcBorders>
              <w:top w:val="single" w:sz="6" w:space="0" w:color="auto"/>
              <w:left w:val="nil"/>
              <w:bottom w:val="nil"/>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566"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8"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42"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r>
      <w:tr w:rsidR="00C82BEE" w:rsidRPr="00CE210C">
        <w:trPr>
          <w:trHeight w:val="240"/>
        </w:trPr>
        <w:tc>
          <w:tcPr>
            <w:tcW w:w="6811" w:type="dxa"/>
            <w:tcBorders>
              <w:top w:val="nil"/>
              <w:left w:val="nil"/>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b/>
                <w:bCs/>
                <w:color w:val="000000"/>
                <w:sz w:val="24"/>
                <w:szCs w:val="24"/>
              </w:rPr>
              <w:t>Демографија</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Заб.</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2010</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2020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2021</w:t>
            </w:r>
          </w:p>
        </w:tc>
      </w:tr>
      <w:tr w:rsidR="00C82BEE" w:rsidRPr="00CE210C">
        <w:trPr>
          <w:trHeight w:val="408"/>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Груба стапка на природна промена на населението (стапка на природен прираст): број родени минус починати (на илјада жители)</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2,5</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0,7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0,8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- 0,3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- 3,2</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- 5,1</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Смртност на деца под една година (на 1.000 живородени)</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7,6</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9,2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5,7</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4,6</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Очекуван животен век при раѓање: мажи (години)</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72,9</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74,1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74,6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74,7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72,2</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71,1 b</w:t>
            </w:r>
          </w:p>
        </w:tc>
      </w:tr>
      <w:tr w:rsidR="00C82BEE" w:rsidRPr="00CE210C">
        <w:trPr>
          <w:trHeight w:val="235"/>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Очекуван животен век при раѓање: жени (години)</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77,2</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77,9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78,8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78,6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76,7</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75,5 b</w:t>
            </w:r>
          </w:p>
        </w:tc>
      </w:tr>
      <w:tr w:rsidR="00C82BEE" w:rsidRPr="00CE210C">
        <w:trPr>
          <w:trHeight w:val="240"/>
        </w:trPr>
        <w:tc>
          <w:tcPr>
            <w:tcW w:w="6811" w:type="dxa"/>
            <w:tcBorders>
              <w:top w:val="single" w:sz="6" w:space="0" w:color="auto"/>
              <w:left w:val="nil"/>
              <w:bottom w:val="nil"/>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566"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8"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42"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r>
      <w:tr w:rsidR="00C82BEE" w:rsidRPr="00CE210C">
        <w:trPr>
          <w:trHeight w:val="235"/>
        </w:trPr>
        <w:tc>
          <w:tcPr>
            <w:tcW w:w="6811" w:type="dxa"/>
            <w:tcBorders>
              <w:top w:val="nil"/>
              <w:left w:val="nil"/>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b/>
                <w:bCs/>
                <w:color w:val="000000"/>
                <w:sz w:val="24"/>
                <w:szCs w:val="24"/>
              </w:rPr>
              <w:t>Пазар на труд</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Заб.</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2010</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2020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2021</w:t>
            </w:r>
          </w:p>
        </w:tc>
      </w:tr>
      <w:tr w:rsidR="00C82BEE" w:rsidRPr="00CE210C">
        <w:trPr>
          <w:trHeight w:val="413"/>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Стапка на економска активност за лица на возраст од 20 до 64 години: сооднос на населението на возраст од 20 до 64 години, кое е економски активно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70,3</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70,3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70,4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71,5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70,5</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70,5 w</w:t>
            </w:r>
          </w:p>
        </w:tc>
      </w:tr>
      <w:tr w:rsidR="00C82BEE" w:rsidRPr="00CE210C">
        <w:trPr>
          <w:trHeight w:val="413"/>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*Стапка на вработеност за лица на возраст од 20 до 64 години: сооднос на населението на возраст од 20 до 64 години, кое е вработено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48,1</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54,8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56,1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59,2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59,1</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59,5 w</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Стапка на вработеност на мажи на возраст од 20 до 64 години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58,4</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65,6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66,6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69,7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68,9</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69,5 w</w:t>
            </w:r>
          </w:p>
        </w:tc>
      </w:tr>
      <w:tr w:rsidR="00C82BEE" w:rsidRPr="00CE210C">
        <w:trPr>
          <w:trHeight w:val="235"/>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Стапка на вработеност на жени на возраст од 20 до 64 години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37,5</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43,7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45,2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48,4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49,0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49,2 w</w:t>
            </w:r>
          </w:p>
        </w:tc>
      </w:tr>
      <w:tr w:rsidR="00C82BEE" w:rsidRPr="00CE210C">
        <w:trPr>
          <w:trHeight w:val="413"/>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Стапка на вработеност за лица на возраст од 55 до 64 години: сооднос на населението на возраст од 55 до 64 години кое е вработено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34,2</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41,4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42,7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45,1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45,7</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44,9 w</w:t>
            </w:r>
          </w:p>
        </w:tc>
      </w:tr>
      <w:tr w:rsidR="00C82BEE" w:rsidRPr="00CE210C">
        <w:trPr>
          <w:trHeight w:val="235"/>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Вработеност според главни сектори</w:t>
            </w:r>
          </w:p>
        </w:tc>
        <w:tc>
          <w:tcPr>
            <w:tcW w:w="7378" w:type="dxa"/>
            <w:gridSpan w:val="7"/>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Земјоделство, шумарство и рибарство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16,2 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15,7 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13,9 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12,0 s</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11,5 w</w:t>
            </w:r>
          </w:p>
        </w:tc>
      </w:tr>
      <w:tr w:rsidR="00C82BEE" w:rsidRPr="00CE210C">
        <w:trPr>
          <w:trHeight w:val="25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Индустрија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23,3 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23,9 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24,1 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23,9 s</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23,9 w</w:t>
            </w:r>
          </w:p>
        </w:tc>
      </w:tr>
      <w:tr w:rsidR="00C82BEE" w:rsidRPr="00CE210C">
        <w:trPr>
          <w:trHeight w:val="245"/>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Градежништво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7,2 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7,4 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7,0 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6,9 s</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6,8 w</w:t>
            </w:r>
          </w:p>
        </w:tc>
      </w:tr>
      <w:tr w:rsidR="00C82BEE" w:rsidRPr="00CE210C">
        <w:trPr>
          <w:trHeight w:val="235"/>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Услуги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53,2 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52,9 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55,0 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57,1 s</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57,7 w</w:t>
            </w:r>
          </w:p>
        </w:tc>
      </w:tr>
      <w:tr w:rsidR="00C82BEE" w:rsidRPr="00CE210C">
        <w:trPr>
          <w:trHeight w:val="413"/>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Лица вработени во јавниот сектор, како дел од вкупниот број вработени, лица на возраст од 20 до 64 години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 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27,0 w</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23,2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23,1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23,2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24,4 w</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25,6 w</w:t>
            </w:r>
          </w:p>
        </w:tc>
      </w:tr>
      <w:tr w:rsidR="00C82BEE" w:rsidRPr="00CE210C">
        <w:trPr>
          <w:trHeight w:val="413"/>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Лица вработени во приватниот сектор, како дел од вкупниот број вработени, лица на возраст од 20 до 64 години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73,0 w</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76,8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76,9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76,8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75,6 w</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74,4 w</w:t>
            </w:r>
          </w:p>
        </w:tc>
      </w:tr>
      <w:tr w:rsidR="00C82BEE" w:rsidRPr="00CE210C">
        <w:trPr>
          <w:trHeight w:val="235"/>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xml:space="preserve">Стапка на невработеност: дел од работната сила што </w:t>
            </w:r>
            <w:r w:rsidR="005101D9">
              <w:rPr>
                <w:rFonts w:ascii="Times New Roman" w:hAnsi="Times New Roman"/>
                <w:color w:val="000000"/>
                <w:sz w:val="24"/>
                <w:szCs w:val="24"/>
              </w:rPr>
              <w:t>с</w:t>
            </w:r>
            <w:r w:rsidRPr="00CE210C">
              <w:rPr>
                <w:rFonts w:ascii="Times New Roman" w:hAnsi="Times New Roman"/>
                <w:color w:val="000000"/>
                <w:sz w:val="24"/>
                <w:szCs w:val="24"/>
              </w:rPr>
              <w:t>е невработен</w:t>
            </w:r>
            <w:r w:rsidR="005101D9">
              <w:rPr>
                <w:rFonts w:ascii="Times New Roman" w:hAnsi="Times New Roman"/>
                <w:color w:val="000000"/>
                <w:sz w:val="24"/>
                <w:szCs w:val="24"/>
              </w:rPr>
              <w:t>и</w:t>
            </w:r>
            <w:r w:rsidRPr="00CE210C">
              <w:rPr>
                <w:rFonts w:ascii="Times New Roman" w:hAnsi="Times New Roman"/>
                <w:color w:val="000000"/>
                <w:sz w:val="24"/>
                <w:szCs w:val="24"/>
              </w:rPr>
              <w:t xml:space="preserve">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32,0</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22,4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17,3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16,4</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15,7 w</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Стапка на невработеност на мажи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31,9</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22,8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21,3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16,5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16,7</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16,4 w</w:t>
            </w:r>
          </w:p>
        </w:tc>
      </w:tr>
      <w:tr w:rsidR="00C82BEE" w:rsidRPr="00CE210C">
        <w:trPr>
          <w:trHeight w:val="235"/>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Стапка на невработеност на жени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32,3</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21,8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19,9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18,4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15,9</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14,6 w</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xml:space="preserve">Стапка на невработеност на младите: дел од работната сила на возраст од 15 до 24 години што </w:t>
            </w:r>
            <w:r w:rsidR="005101D9">
              <w:rPr>
                <w:rFonts w:ascii="Times New Roman" w:hAnsi="Times New Roman"/>
                <w:color w:val="000000"/>
                <w:sz w:val="24"/>
                <w:szCs w:val="24"/>
              </w:rPr>
              <w:t>с</w:t>
            </w:r>
            <w:r w:rsidRPr="00CE210C">
              <w:rPr>
                <w:rFonts w:ascii="Times New Roman" w:hAnsi="Times New Roman"/>
                <w:color w:val="000000"/>
                <w:sz w:val="24"/>
                <w:szCs w:val="24"/>
              </w:rPr>
              <w:t>е невработен</w:t>
            </w:r>
            <w:r w:rsidR="005101D9">
              <w:rPr>
                <w:rFonts w:ascii="Times New Roman" w:hAnsi="Times New Roman"/>
                <w:color w:val="000000"/>
                <w:sz w:val="24"/>
                <w:szCs w:val="24"/>
              </w:rPr>
              <w:t>и</w:t>
            </w:r>
            <w:r w:rsidRPr="00CE210C">
              <w:rPr>
                <w:rFonts w:ascii="Times New Roman" w:hAnsi="Times New Roman"/>
                <w:color w:val="000000"/>
                <w:sz w:val="24"/>
                <w:szCs w:val="24"/>
              </w:rPr>
              <w:t xml:space="preserve">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53,7</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46,7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45,4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35,6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35,7</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36,4 w</w:t>
            </w:r>
          </w:p>
        </w:tc>
      </w:tr>
      <w:tr w:rsidR="00C82BEE" w:rsidRPr="00CE210C">
        <w:trPr>
          <w:trHeight w:val="413"/>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Стапка на долгорочна невработеност: дел од работната сила што е невработен 12 месеци или подолго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26,6</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17,4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15,5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12,4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12,4</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12,5 w</w:t>
            </w:r>
          </w:p>
        </w:tc>
      </w:tr>
      <w:tr w:rsidR="00C82BEE" w:rsidRPr="00CE210C">
        <w:trPr>
          <w:trHeight w:val="413"/>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Стапка на невработеност на лица (на возраст од 25 до 64 години) со завршено најмногу основно образование (ISCED нивоа 0-2)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37,9</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25,6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23,1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23,7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21,4</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22,8 w</w:t>
            </w:r>
          </w:p>
        </w:tc>
      </w:tr>
      <w:tr w:rsidR="00C82BEE" w:rsidRPr="00CE210C">
        <w:trPr>
          <w:trHeight w:val="413"/>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Стапка на невработеност на лица (на возраст од 25 до 64 години) со завршено високо образование (ISCED нивоа 5-8)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19,3</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17,1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16,6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13,3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12,9</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11,3 w</w:t>
            </w:r>
          </w:p>
        </w:tc>
      </w:tr>
      <w:tr w:rsidR="00C82BEE" w:rsidRPr="00CE210C">
        <w:trPr>
          <w:trHeight w:val="235"/>
        </w:trPr>
        <w:tc>
          <w:tcPr>
            <w:tcW w:w="6811" w:type="dxa"/>
            <w:tcBorders>
              <w:top w:val="single" w:sz="6" w:space="0" w:color="auto"/>
              <w:left w:val="nil"/>
              <w:bottom w:val="nil"/>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566"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8"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42"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r>
      <w:tr w:rsidR="00C82BEE" w:rsidRPr="00CE210C">
        <w:trPr>
          <w:trHeight w:val="240"/>
        </w:trPr>
        <w:tc>
          <w:tcPr>
            <w:tcW w:w="6811" w:type="dxa"/>
            <w:tcBorders>
              <w:top w:val="nil"/>
              <w:left w:val="nil"/>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b/>
                <w:bCs/>
                <w:color w:val="000000"/>
                <w:sz w:val="24"/>
                <w:szCs w:val="24"/>
              </w:rPr>
              <w:t>Социјална кохезија</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Заб.</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2010</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2020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2021</w:t>
            </w:r>
          </w:p>
        </w:tc>
      </w:tr>
      <w:tr w:rsidR="00C82BEE" w:rsidRPr="00CE210C">
        <w:trPr>
          <w:trHeight w:val="235"/>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Просечни номинални месечни надници и плати (во национална валута)</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20.553 w</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22.928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24.276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25.213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27.182 w</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28.718 w</w:t>
            </w:r>
          </w:p>
        </w:tc>
      </w:tr>
      <w:tr w:rsidR="00C82BEE" w:rsidRPr="00CE210C">
        <w:trPr>
          <w:trHeight w:val="413"/>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Индекс на реални надници и плати (индекс на номинални надници и плати поделен со индексот на инфлација) (2016 = 100)</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101 w</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101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106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109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116 w</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119 w</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ЏИНИЕВ коефициент</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31</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Јаз на сиромаштија</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37,3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37,7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32,0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34,9</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r>
      <w:tr w:rsidR="00C82BEE" w:rsidRPr="00CE210C">
        <w:trPr>
          <w:trHeight w:val="413"/>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*Лица што предвреме напуштиле образование и обука: дел од населението на возраст од 18 до 24 години со завршено најмногу основно образование, кои повеќе не посетуваат образование или обука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15,5</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8,5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5,7</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4,6 w</w:t>
            </w:r>
          </w:p>
        </w:tc>
      </w:tr>
      <w:tr w:rsidR="00C82BEE" w:rsidRPr="00CE210C">
        <w:trPr>
          <w:trHeight w:val="235"/>
        </w:trPr>
        <w:tc>
          <w:tcPr>
            <w:tcW w:w="6811" w:type="dxa"/>
            <w:tcBorders>
              <w:top w:val="single" w:sz="6" w:space="0" w:color="auto"/>
              <w:left w:val="nil"/>
              <w:bottom w:val="nil"/>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566"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8"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42"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r>
      <w:tr w:rsidR="00C82BEE" w:rsidRPr="00CE210C">
        <w:trPr>
          <w:trHeight w:val="235"/>
        </w:trPr>
        <w:tc>
          <w:tcPr>
            <w:tcW w:w="6811" w:type="dxa"/>
            <w:tcBorders>
              <w:top w:val="nil"/>
              <w:left w:val="nil"/>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b/>
                <w:bCs/>
                <w:color w:val="000000"/>
                <w:sz w:val="24"/>
                <w:szCs w:val="24"/>
              </w:rPr>
              <w:t>Животен стандард</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Заб.</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2010</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2020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2021</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Број патнички возила во однос на големината на населението (број на илјада жители)</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151,0</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194,0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200,0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205,0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207,0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260,0</w:t>
            </w:r>
          </w:p>
        </w:tc>
      </w:tr>
      <w:tr w:rsidR="00C82BEE" w:rsidRPr="00CE210C">
        <w:trPr>
          <w:trHeight w:val="413"/>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Број претплати за мобилна телефонија во однос на големината на населението (број на илјада жители)</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1.098,2 w</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968,3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935,9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924,8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896,8 w</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902,7 w</w:t>
            </w:r>
          </w:p>
        </w:tc>
      </w:tr>
      <w:tr w:rsidR="00C82BEE" w:rsidRPr="00CE210C">
        <w:trPr>
          <w:trHeight w:val="235"/>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Пенетрација на мобилен широкопојасен интернет (на 100 жители)</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61,1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60,9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65,1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66,1 w</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67,6 w</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Пенетрација на фиксен широкопојасен интернет (на 100 жители)</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19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19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22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23 w</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23 w</w:t>
            </w:r>
          </w:p>
        </w:tc>
      </w:tr>
      <w:tr w:rsidR="00C82BEE" w:rsidRPr="00CE210C">
        <w:trPr>
          <w:trHeight w:val="240"/>
        </w:trPr>
        <w:tc>
          <w:tcPr>
            <w:tcW w:w="6811" w:type="dxa"/>
            <w:tcBorders>
              <w:top w:val="single" w:sz="6" w:space="0" w:color="auto"/>
              <w:left w:val="nil"/>
              <w:bottom w:val="nil"/>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566"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8"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42"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r>
      <w:tr w:rsidR="00C82BEE" w:rsidRPr="00CE210C">
        <w:trPr>
          <w:trHeight w:val="235"/>
        </w:trPr>
        <w:tc>
          <w:tcPr>
            <w:tcW w:w="6811" w:type="dxa"/>
            <w:tcBorders>
              <w:top w:val="nil"/>
              <w:left w:val="nil"/>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b/>
                <w:bCs/>
                <w:color w:val="000000"/>
                <w:sz w:val="24"/>
                <w:szCs w:val="24"/>
              </w:rPr>
              <w:t>Инфраструктура</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Заб.</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2010</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2020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2021</w:t>
            </w:r>
          </w:p>
        </w:tc>
      </w:tr>
      <w:tr w:rsidR="00C82BEE" w:rsidRPr="00CE210C">
        <w:trPr>
          <w:trHeight w:val="269"/>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Густина на железничка мрежа (функционални линии на илјада km²)</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27,5 sw</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26,9 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26,9 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26,9 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26,9 s</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26,9 s</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Должина на автопатишта (километри)</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251</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259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287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335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335</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335</w:t>
            </w:r>
          </w:p>
        </w:tc>
      </w:tr>
      <w:tr w:rsidR="00C82BEE" w:rsidRPr="00CE210C">
        <w:trPr>
          <w:trHeight w:val="235"/>
        </w:trPr>
        <w:tc>
          <w:tcPr>
            <w:tcW w:w="6811" w:type="dxa"/>
            <w:tcBorders>
              <w:top w:val="single" w:sz="6" w:space="0" w:color="auto"/>
              <w:left w:val="nil"/>
              <w:bottom w:val="nil"/>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566"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8"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42"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r>
      <w:tr w:rsidR="00C82BEE" w:rsidRPr="00CE210C">
        <w:trPr>
          <w:trHeight w:val="240"/>
        </w:trPr>
        <w:tc>
          <w:tcPr>
            <w:tcW w:w="6811" w:type="dxa"/>
            <w:tcBorders>
              <w:top w:val="nil"/>
              <w:left w:val="nil"/>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b/>
                <w:bCs/>
                <w:color w:val="000000"/>
                <w:sz w:val="24"/>
                <w:szCs w:val="24"/>
              </w:rPr>
              <w:t>Иновации и истражување</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Заб.</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2010</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2020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2021</w:t>
            </w:r>
          </w:p>
        </w:tc>
      </w:tr>
      <w:tr w:rsidR="00C82BEE" w:rsidRPr="00CE210C">
        <w:trPr>
          <w:trHeight w:val="235"/>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Јавни расходи за образование во однос на БДП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r>
      <w:tr w:rsidR="00C82BEE" w:rsidRPr="00CE210C">
        <w:trPr>
          <w:trHeight w:val="25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*Бруто-домашен расход на истражување и развој, во однос на БДП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0,22 sw</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0,35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0,36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0,37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0,37</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r>
      <w:tr w:rsidR="00C82BEE" w:rsidRPr="00CE210C">
        <w:trPr>
          <w:trHeight w:val="418"/>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Одобрени средства со буџетот или расходи за истражување и развој (GBAORD), како процент од БДП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Процент на домаќинства што имаат пристап до интернет дома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46,1</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73,6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79,3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81,6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79,4</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83,7</w:t>
            </w:r>
          </w:p>
        </w:tc>
      </w:tr>
      <w:tr w:rsidR="00C82BEE" w:rsidRPr="00CE210C">
        <w:trPr>
          <w:trHeight w:val="235"/>
        </w:trPr>
        <w:tc>
          <w:tcPr>
            <w:tcW w:w="6811" w:type="dxa"/>
            <w:tcBorders>
              <w:top w:val="single" w:sz="6" w:space="0" w:color="auto"/>
              <w:left w:val="nil"/>
              <w:bottom w:val="nil"/>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699" w:type="dxa"/>
            <w:gridSpan w:val="2"/>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8"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42"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r>
      <w:tr w:rsidR="00C82BEE" w:rsidRPr="00CE210C">
        <w:trPr>
          <w:trHeight w:val="240"/>
        </w:trPr>
        <w:tc>
          <w:tcPr>
            <w:tcW w:w="6811" w:type="dxa"/>
            <w:tcBorders>
              <w:top w:val="nil"/>
              <w:left w:val="nil"/>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b/>
                <w:bCs/>
                <w:color w:val="000000"/>
                <w:sz w:val="24"/>
                <w:szCs w:val="24"/>
              </w:rPr>
              <w:t>Животна средина</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Заб.</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2010</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2020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2021</w:t>
            </w:r>
          </w:p>
        </w:tc>
      </w:tr>
      <w:tr w:rsidR="00C82BEE" w:rsidRPr="00CE210C">
        <w:trPr>
          <w:trHeight w:val="235"/>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*Показател на емисии на стакленички гасови, еквивалентни на CO</w:t>
            </w:r>
            <w:r w:rsidRPr="00CE210C">
              <w:rPr>
                <w:rFonts w:ascii="Times New Roman" w:hAnsi="Times New Roman"/>
                <w:color w:val="000000"/>
                <w:sz w:val="24"/>
                <w:szCs w:val="24"/>
                <w:vertAlign w:val="subscript"/>
              </w:rPr>
              <w:t>2</w:t>
            </w:r>
            <w:r w:rsidRPr="00CE210C">
              <w:rPr>
                <w:rFonts w:ascii="Times New Roman" w:hAnsi="Times New Roman"/>
                <w:color w:val="000000"/>
                <w:sz w:val="24"/>
                <w:szCs w:val="24"/>
              </w:rPr>
              <w:t xml:space="preserve"> (1990 = 100)</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99,8 w</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113,0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79,5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118,7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r>
      <w:tr w:rsidR="00C82BEE" w:rsidRPr="00CE210C">
        <w:trPr>
          <w:trHeight w:val="413"/>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Енергетски интензитет на стопанството (kg на еквивалент на нафта на 1.000 евра БДП при константни цени од 2015)</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358,4</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293,0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267,1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283,8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270,1</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268,2</w:t>
            </w:r>
          </w:p>
        </w:tc>
      </w:tr>
      <w:tr w:rsidR="00C82BEE" w:rsidRPr="00CE210C">
        <w:trPr>
          <w:trHeight w:val="235"/>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Електрична енергија добиена од обновливи извори во однос на бруто-потрошувачка на електрична енергија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15,8</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24,8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24,8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23,8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23,5</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21,5</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Удел на товарниот патен транспорт (врз основа на тон-km)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89,0 w</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96,4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97,2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96,7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96,9 w</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96,8 w</w:t>
            </w:r>
          </w:p>
        </w:tc>
      </w:tr>
      <w:tr w:rsidR="00C82BEE" w:rsidRPr="00CE210C">
        <w:trPr>
          <w:trHeight w:val="240"/>
        </w:trPr>
        <w:tc>
          <w:tcPr>
            <w:tcW w:w="6811" w:type="dxa"/>
            <w:tcBorders>
              <w:top w:val="single" w:sz="6" w:space="0" w:color="auto"/>
              <w:left w:val="nil"/>
              <w:bottom w:val="nil"/>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699" w:type="dxa"/>
            <w:gridSpan w:val="2"/>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8"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42"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r>
      <w:tr w:rsidR="00C82BEE" w:rsidRPr="00CE210C">
        <w:trPr>
          <w:trHeight w:val="235"/>
        </w:trPr>
        <w:tc>
          <w:tcPr>
            <w:tcW w:w="6811" w:type="dxa"/>
            <w:tcBorders>
              <w:top w:val="nil"/>
              <w:left w:val="nil"/>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b/>
                <w:bCs/>
                <w:color w:val="000000"/>
                <w:sz w:val="24"/>
                <w:szCs w:val="24"/>
              </w:rPr>
              <w:t>Енергија</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Заб.</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2010</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2020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2021</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Примарно производство на сите енергетски производи (во илјади тони енергија (TOE))</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1.607</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1.166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1.148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1.160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992</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877</w:t>
            </w:r>
          </w:p>
        </w:tc>
      </w:tr>
      <w:tr w:rsidR="00C82BEE" w:rsidRPr="00CE210C">
        <w:trPr>
          <w:trHeight w:val="235"/>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Примарно производство на мазут (во илјади TOE)</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0</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0</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Примарно производство на цврсти горива (во илјади TOE)</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1.194</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849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800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860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685</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552</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Примарно производство на гас (во илјади TOE)</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0</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0</w:t>
            </w:r>
          </w:p>
        </w:tc>
      </w:tr>
      <w:tr w:rsidR="00C82BEE" w:rsidRPr="00CE210C">
        <w:trPr>
          <w:trHeight w:val="235"/>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Нето-увоз на сите енергетски производи (во илјади TOE)</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1.268 s</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1.553 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1.513 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1.664 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1.648 s</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1.822 s</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Бруто-потрошувачка на енергија во земјата (во илјади TOE)</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2.881</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2.763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2.592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2.862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2.596</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2.678</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Бруто-производство на електрична енергија (GWh)</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7.260</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5.600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5.607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5.870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5.347</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5.506</w:t>
            </w:r>
          </w:p>
        </w:tc>
      </w:tr>
      <w:tr w:rsidR="00C82BEE" w:rsidRPr="00CE210C">
        <w:trPr>
          <w:trHeight w:val="235"/>
        </w:trPr>
        <w:tc>
          <w:tcPr>
            <w:tcW w:w="6811" w:type="dxa"/>
            <w:tcBorders>
              <w:top w:val="single" w:sz="6" w:space="0" w:color="auto"/>
              <w:left w:val="nil"/>
              <w:bottom w:val="nil"/>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699" w:type="dxa"/>
            <w:gridSpan w:val="2"/>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8"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42" w:type="dxa"/>
            <w:tcBorders>
              <w:top w:val="single" w:sz="6" w:space="0" w:color="auto"/>
              <w:left w:val="nil"/>
              <w:bottom w:val="single" w:sz="6" w:space="0" w:color="auto"/>
              <w:right w:val="nil"/>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r>
      <w:tr w:rsidR="00C82BEE" w:rsidRPr="00CE210C">
        <w:trPr>
          <w:trHeight w:val="235"/>
        </w:trPr>
        <w:tc>
          <w:tcPr>
            <w:tcW w:w="6811" w:type="dxa"/>
            <w:tcBorders>
              <w:top w:val="nil"/>
              <w:left w:val="nil"/>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b/>
                <w:bCs/>
                <w:color w:val="000000"/>
                <w:sz w:val="24"/>
                <w:szCs w:val="24"/>
              </w:rPr>
              <w:t>Земјоделство</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Заб.</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2010</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2019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2020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2021</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Индекс на обемот на производство на земјоделски стоки и услуги (по производни цени) (2010 = 100)</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100,0 w</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99,9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111,8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105,4 w</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108,8 w</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Искористена земјоделска површина (во илјади хектари)</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1.120,6</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1.266,0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1.264,1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1.264,6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1.270,5</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1.268,8</w:t>
            </w:r>
          </w:p>
        </w:tc>
      </w:tr>
      <w:tr w:rsidR="00C82BEE" w:rsidRPr="00CE210C">
        <w:trPr>
          <w:trHeight w:val="235"/>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Број добиток: живи говеда (во илјади грла, крај на периодот)</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255,0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256,0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219,0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222,0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178,0</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Број добиток: живи свињи (во илјади грла, крај на периодот)</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202,0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196,0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136,0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164,0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186,0</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Број добиток: живи овци и живи кози (во илјади грла, крај на периодот)</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832,0 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844,0 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771,0 s</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726,0 s</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709,0 s</w:t>
            </w:r>
          </w:p>
        </w:tc>
      </w:tr>
      <w:tr w:rsidR="00C82BEE" w:rsidRPr="00CE210C">
        <w:trPr>
          <w:trHeight w:val="235"/>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Свежо млеко на располагање на фармите (во илјади тони)</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462,2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478,5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456,1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461,1</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389,2</w:t>
            </w:r>
          </w:p>
        </w:tc>
      </w:tr>
      <w:tr w:rsidR="00C82BEE" w:rsidRPr="00CE210C">
        <w:trPr>
          <w:trHeight w:val="24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Производство на ожнеани култури: жита (вклучувајќи ориз) (во илјади тони)</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547,8</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452,9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605,3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569,6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585,5</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568,9</w:t>
            </w:r>
          </w:p>
        </w:tc>
      </w:tr>
      <w:tr w:rsidR="00C82BEE" w:rsidRPr="00CE210C">
        <w:trPr>
          <w:trHeight w:val="235"/>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Производство на ожнеани култури: шеќерна репка (во илјади тони)</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0,0</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0,0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0,0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0,0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0,0</w:t>
            </w:r>
          </w:p>
        </w:tc>
      </w:tr>
      <w:tr w:rsidR="00C82BEE" w:rsidRPr="00CE210C">
        <w:trPr>
          <w:trHeight w:val="250"/>
        </w:trPr>
        <w:tc>
          <w:tcPr>
            <w:tcW w:w="6811"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Производство на ожнеани култури: зеленчук (во илјади тони)</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741,7</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769,6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792,9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772,7</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794,2</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798,0 p</w:t>
            </w:r>
          </w:p>
        </w:tc>
      </w:tr>
    </w:tbl>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b/>
          <w:bCs/>
          <w:color w:val="000000"/>
          <w:sz w:val="24"/>
          <w:szCs w:val="24"/>
        </w:rPr>
        <w:t>Извор: Евростат и/или статистичките органи во Северна Македонија</w:t>
      </w:r>
    </w:p>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 недостапно</w:t>
      </w:r>
    </w:p>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b = прекин во серија</w:t>
      </w:r>
    </w:p>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d = дефиницијата се разликува</w:t>
      </w:r>
    </w:p>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е = проценета вредност</w:t>
      </w:r>
    </w:p>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p = провизорно</w:t>
      </w:r>
    </w:p>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s = процена на Евростат</w:t>
      </w:r>
    </w:p>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w = податоци доставени од и под одговорност на националниот статистички орган и објавени врз основа „како што е“ и без никакво уверување во однос на нивниот квалитет</w:t>
      </w:r>
    </w:p>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и придржување кон статистичката методологија на ЕУ</w:t>
      </w:r>
    </w:p>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 индикатор Европа 2020</w:t>
      </w:r>
    </w:p>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 = Индикатор на Постапката за макроекономски дисбаланс (ПМД)</w:t>
      </w:r>
    </w:p>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Фусноти:</w:t>
      </w:r>
    </w:p>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1) Податоците се усогласени со површината во Регистарот на територијални единици што го води Агенцијата за катастар на недвижности, како официјален извор за површините на територијалните единици во државата.</w:t>
      </w:r>
    </w:p>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2) Податоците опфаќаат билатерални трансакции преку ноќ. Каматните стапки се пресметуваат како пондерирани просеци.</w:t>
      </w:r>
    </w:p>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3) Крај на годината (31 декември).</w:t>
      </w:r>
    </w:p>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4) Ласперов индекс на единечна вредност. 2015 = 100.</w:t>
      </w:r>
    </w:p>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5) Не е спроведена новата Регулатива за Интегрирана европска социјална статистика (ИЕСС).</w:t>
      </w:r>
    </w:p>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6) Во јавниот сектор се вклучени податоци: други (комбинирани, колективни, државни, недефинирани).</w:t>
      </w:r>
    </w:p>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7) Извор: Агенција за електронски комуникации (АЕК).</w:t>
      </w:r>
    </w:p>
    <w:p w:rsidR="00C82BEE" w:rsidRPr="00CE210C" w:rsidRDefault="00C82BEE" w:rsidP="008D6AE4">
      <w:pPr>
        <w:shd w:val="clear" w:color="auto" w:fill="FFFFFF"/>
        <w:spacing w:before="120" w:after="120" w:line="240" w:lineRule="auto"/>
        <w:jc w:val="both"/>
        <w:rPr>
          <w:rFonts w:ascii="Times New Roman" w:hAnsi="Times New Roman"/>
          <w:sz w:val="24"/>
          <w:szCs w:val="24"/>
        </w:rPr>
      </w:pPr>
      <w:r w:rsidRPr="00CE210C">
        <w:rPr>
          <w:rFonts w:ascii="Times New Roman" w:hAnsi="Times New Roman"/>
          <w:color w:val="000000"/>
          <w:sz w:val="24"/>
          <w:szCs w:val="24"/>
        </w:rPr>
        <w:t>8) Вкупни расходи за истражување и развој како што се објавени во статистичките прегледи на активностите за истражување и развој.</w:t>
      </w:r>
    </w:p>
    <w:p w:rsidR="00FB31F5" w:rsidRPr="00FB31F5" w:rsidRDefault="00C82BEE" w:rsidP="00FB31F5">
      <w:pPr>
        <w:shd w:val="clear" w:color="auto" w:fill="FFFFFF"/>
        <w:spacing w:before="120" w:after="120" w:line="240" w:lineRule="auto"/>
        <w:jc w:val="both"/>
        <w:rPr>
          <w:rFonts w:ascii="Times New Roman" w:hAnsi="Times New Roman"/>
          <w:sz w:val="24"/>
          <w:szCs w:val="24"/>
        </w:rPr>
        <w:sectPr w:rsidR="00FB31F5" w:rsidRPr="00FB31F5" w:rsidSect="00FB31F5">
          <w:pgSz w:w="16838" w:h="11906" w:orient="landscape"/>
          <w:pgMar w:top="1440" w:right="1440" w:bottom="1440" w:left="1440" w:header="227" w:footer="720" w:gutter="0"/>
          <w:cols w:space="720"/>
          <w:docGrid w:linePitch="360"/>
        </w:sectPr>
      </w:pPr>
      <w:r w:rsidRPr="00CE210C">
        <w:rPr>
          <w:rFonts w:ascii="Times New Roman" w:hAnsi="Times New Roman"/>
          <w:color w:val="000000"/>
          <w:sz w:val="24"/>
          <w:szCs w:val="24"/>
        </w:rPr>
        <w:t>9) Дел од инвентарот на стакленички гасови, подготвен во контекст на Четвртата национална комуникација (УНФЦЦЦ).</w:t>
      </w:r>
    </w:p>
    <w:p w:rsidR="007E3A4C" w:rsidRPr="00EA7926" w:rsidRDefault="007E3A4C"/>
    <w:sectPr w:rsidR="007E3A4C" w:rsidRPr="00EA7926" w:rsidSect="006B2E1F">
      <w:pgSz w:w="11906" w:h="16838"/>
      <w:pgMar w:top="1440" w:right="1440" w:bottom="1440" w:left="1440" w:header="22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633" w:rsidRDefault="00E04633" w:rsidP="004B28D4">
      <w:pPr>
        <w:spacing w:after="0" w:line="240" w:lineRule="auto"/>
      </w:pPr>
      <w:r>
        <w:separator/>
      </w:r>
    </w:p>
  </w:endnote>
  <w:endnote w:type="continuationSeparator" w:id="0">
    <w:p w:rsidR="00E04633" w:rsidRDefault="00E04633" w:rsidP="004B2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633" w:rsidRDefault="00E04633" w:rsidP="004B28D4">
      <w:pPr>
        <w:spacing w:after="0" w:line="240" w:lineRule="auto"/>
      </w:pPr>
      <w:r>
        <w:separator/>
      </w:r>
    </w:p>
  </w:footnote>
  <w:footnote w:type="continuationSeparator" w:id="0">
    <w:p w:rsidR="00E04633" w:rsidRDefault="00E04633" w:rsidP="004B28D4">
      <w:pPr>
        <w:spacing w:after="0" w:line="240" w:lineRule="auto"/>
      </w:pPr>
      <w:r>
        <w:continuationSeparator/>
      </w:r>
    </w:p>
  </w:footnote>
  <w:footnote w:id="1">
    <w:p w:rsidR="004004ED" w:rsidRPr="00C320C7" w:rsidRDefault="004004ED" w:rsidP="00C320C7">
      <w:pPr>
        <w:shd w:val="clear" w:color="auto" w:fill="FFFFFF"/>
        <w:spacing w:after="0" w:line="240" w:lineRule="auto"/>
        <w:jc w:val="both"/>
        <w:rPr>
          <w:rFonts w:ascii="Times New Roman" w:hAnsi="Times New Roman"/>
          <w:sz w:val="20"/>
          <w:szCs w:val="20"/>
        </w:rPr>
      </w:pPr>
      <w:r w:rsidRPr="00C320C7">
        <w:rPr>
          <w:rStyle w:val="FootnoteReference"/>
          <w:rFonts w:ascii="Times New Roman" w:hAnsi="Times New Roman"/>
          <w:sz w:val="20"/>
          <w:szCs w:val="20"/>
        </w:rPr>
        <w:footnoteRef/>
      </w:r>
      <w:r w:rsidRPr="00C320C7">
        <w:rPr>
          <w:rFonts w:ascii="Times New Roman" w:hAnsi="Times New Roman"/>
          <w:sz w:val="20"/>
          <w:szCs w:val="20"/>
        </w:rPr>
        <w:t xml:space="preserve"> Овој Извештај го покрива периодот од јуни 2022 до јуни 2023 година. Тој се заснова на придонесите од различни извори, вклучително и придонесите од Владата на Северна Македонија, земјите членки на ЕУ, извештаите на Европскиот парламент и информациите од различни меѓународни и невладини организации. Ги вклучува и резултатите од компаративните процени и индексите креирани од други засегнати страни, особено во областа на владеење на правото. За да ја опише фактографската состојба, Извештајот ја користи следнава скала: рана фаза, одредено ниво на подготвеност, умерена подготвеност, добро ниво на подготвеност и добар напредок. За да го опише напредокот постигнат во извештајниот период, Извештајот ја користи следнава скала: заостанување, нема напредок, ограничен напредок, одреден напредок, добар напредок и многу добар напредок. Каде што е соодветно, се користат и меѓу-оценки.</w:t>
      </w:r>
    </w:p>
  </w:footnote>
  <w:footnote w:id="2">
    <w:p w:rsidR="004004ED" w:rsidRPr="00C320C7" w:rsidRDefault="004004ED" w:rsidP="00C320C7">
      <w:pPr>
        <w:shd w:val="clear" w:color="auto" w:fill="FFFFFF"/>
        <w:spacing w:after="0" w:line="240" w:lineRule="auto"/>
        <w:jc w:val="both"/>
        <w:rPr>
          <w:rFonts w:ascii="Times New Roman" w:hAnsi="Times New Roman"/>
          <w:sz w:val="20"/>
          <w:szCs w:val="20"/>
        </w:rPr>
      </w:pPr>
      <w:r w:rsidRPr="00C320C7">
        <w:rPr>
          <w:rStyle w:val="FootnoteReference"/>
          <w:rFonts w:ascii="Times New Roman" w:hAnsi="Times New Roman"/>
          <w:sz w:val="20"/>
          <w:szCs w:val="20"/>
        </w:rPr>
        <w:footnoteRef/>
      </w:r>
      <w:r w:rsidRPr="00C320C7">
        <w:rPr>
          <w:rFonts w:ascii="Times New Roman" w:hAnsi="Times New Roman"/>
          <w:sz w:val="20"/>
          <w:szCs w:val="20"/>
        </w:rPr>
        <w:t xml:space="preserve"> </w:t>
      </w:r>
      <w:bookmarkStart w:id="7" w:name="bookmark8"/>
      <w:r w:rsidRPr="00C320C7">
        <w:rPr>
          <w:rFonts w:ascii="Times New Roman" w:hAnsi="Times New Roman"/>
          <w:sz w:val="20"/>
          <w:szCs w:val="20"/>
        </w:rPr>
        <w:t>К</w:t>
      </w:r>
      <w:bookmarkEnd w:id="7"/>
      <w:r w:rsidRPr="00C320C7">
        <w:rPr>
          <w:rFonts w:ascii="Times New Roman" w:hAnsi="Times New Roman"/>
          <w:sz w:val="20"/>
          <w:szCs w:val="20"/>
        </w:rPr>
        <w:t>ОМ(2020) 641 последна верзија</w:t>
      </w:r>
    </w:p>
  </w:footnote>
  <w:footnote w:id="3">
    <w:p w:rsidR="004004ED" w:rsidRPr="00C320C7" w:rsidRDefault="004004ED" w:rsidP="00C320C7">
      <w:pPr>
        <w:shd w:val="clear" w:color="auto" w:fill="FFFFFF"/>
        <w:spacing w:after="0" w:line="240" w:lineRule="auto"/>
        <w:jc w:val="both"/>
        <w:rPr>
          <w:rFonts w:ascii="Times New Roman" w:hAnsi="Times New Roman"/>
          <w:sz w:val="20"/>
          <w:szCs w:val="20"/>
        </w:rPr>
      </w:pPr>
      <w:r w:rsidRPr="00C320C7">
        <w:rPr>
          <w:rStyle w:val="FootnoteReference"/>
          <w:rFonts w:ascii="Times New Roman" w:hAnsi="Times New Roman"/>
          <w:sz w:val="20"/>
          <w:szCs w:val="20"/>
        </w:rPr>
        <w:footnoteRef/>
      </w:r>
      <w:r w:rsidRPr="00C320C7">
        <w:rPr>
          <w:rFonts w:ascii="Times New Roman" w:hAnsi="Times New Roman"/>
          <w:sz w:val="20"/>
          <w:szCs w:val="20"/>
        </w:rPr>
        <w:t xml:space="preserve"> </w:t>
      </w:r>
      <w:r w:rsidRPr="00C320C7">
        <w:rPr>
          <w:rFonts w:ascii="Times New Roman" w:hAnsi="Times New Roman"/>
          <w:i/>
          <w:sz w:val="20"/>
          <w:szCs w:val="20"/>
        </w:rPr>
        <w:t>Внатрешна македонска револуционерна организација – Демократска партија за македонско национално единство.</w:t>
      </w:r>
    </w:p>
  </w:footnote>
  <w:footnote w:id="4">
    <w:p w:rsidR="004004ED" w:rsidRPr="00C320C7" w:rsidRDefault="004004ED" w:rsidP="00C320C7">
      <w:pPr>
        <w:pStyle w:val="FootnoteText"/>
        <w:spacing w:after="0" w:line="240" w:lineRule="auto"/>
        <w:rPr>
          <w:rFonts w:ascii="Times New Roman" w:hAnsi="Times New Roman"/>
          <w:sz w:val="20"/>
          <w:szCs w:val="20"/>
        </w:rPr>
      </w:pPr>
      <w:r w:rsidRPr="00C320C7">
        <w:rPr>
          <w:rStyle w:val="FootnoteReference"/>
          <w:rFonts w:ascii="Times New Roman" w:hAnsi="Times New Roman"/>
          <w:sz w:val="20"/>
          <w:szCs w:val="20"/>
        </w:rPr>
        <w:footnoteRef/>
      </w:r>
      <w:r w:rsidRPr="00C320C7">
        <w:rPr>
          <w:rFonts w:ascii="Times New Roman" w:hAnsi="Times New Roman"/>
          <w:sz w:val="20"/>
          <w:szCs w:val="20"/>
        </w:rPr>
        <w:t xml:space="preserve"> Во согласност со терминологијата на европските институции, општиот израз „Роми“ се користи овде за да се однесува на повеќе различни групи без да се негираат специфичностите на овие групи.</w:t>
      </w:r>
    </w:p>
  </w:footnote>
  <w:footnote w:id="5">
    <w:p w:rsidR="004004ED" w:rsidRPr="00C320C7" w:rsidRDefault="004004ED" w:rsidP="00C320C7">
      <w:pPr>
        <w:shd w:val="clear" w:color="auto" w:fill="FFFFFF"/>
        <w:spacing w:after="0" w:line="240" w:lineRule="auto"/>
        <w:jc w:val="both"/>
        <w:rPr>
          <w:rFonts w:ascii="Times New Roman" w:hAnsi="Times New Roman"/>
          <w:sz w:val="20"/>
          <w:szCs w:val="20"/>
        </w:rPr>
      </w:pPr>
      <w:r w:rsidRPr="00C320C7">
        <w:rPr>
          <w:rStyle w:val="FootnoteReference"/>
          <w:rFonts w:ascii="Times New Roman" w:hAnsi="Times New Roman"/>
          <w:sz w:val="20"/>
          <w:szCs w:val="20"/>
        </w:rPr>
        <w:footnoteRef/>
      </w:r>
      <w:r w:rsidRPr="00C320C7">
        <w:rPr>
          <w:rFonts w:ascii="Times New Roman" w:hAnsi="Times New Roman"/>
          <w:sz w:val="20"/>
          <w:szCs w:val="20"/>
        </w:rPr>
        <w:t xml:space="preserve"> </w:t>
      </w:r>
      <w:r w:rsidRPr="00C320C7">
        <w:rPr>
          <w:rFonts w:ascii="Times New Roman" w:hAnsi="Times New Roman"/>
          <w:i/>
          <w:sz w:val="20"/>
          <w:szCs w:val="20"/>
        </w:rPr>
        <w:t>Социјалдемократски сојуз на Македонија</w:t>
      </w:r>
    </w:p>
  </w:footnote>
  <w:footnote w:id="6">
    <w:p w:rsidR="004004ED" w:rsidRPr="00C320C7" w:rsidRDefault="004004ED" w:rsidP="00C320C7">
      <w:pPr>
        <w:shd w:val="clear" w:color="auto" w:fill="FFFFFF"/>
        <w:spacing w:after="0" w:line="240" w:lineRule="auto"/>
        <w:jc w:val="both"/>
        <w:rPr>
          <w:rFonts w:ascii="Times New Roman" w:hAnsi="Times New Roman"/>
          <w:sz w:val="20"/>
          <w:szCs w:val="20"/>
        </w:rPr>
      </w:pPr>
      <w:r w:rsidRPr="00C320C7">
        <w:rPr>
          <w:rStyle w:val="FootnoteReference"/>
          <w:rFonts w:ascii="Times New Roman" w:hAnsi="Times New Roman"/>
          <w:sz w:val="20"/>
          <w:szCs w:val="20"/>
        </w:rPr>
        <w:footnoteRef/>
      </w:r>
      <w:r w:rsidRPr="00C320C7">
        <w:rPr>
          <w:rFonts w:ascii="Times New Roman" w:hAnsi="Times New Roman"/>
          <w:sz w:val="20"/>
          <w:szCs w:val="20"/>
        </w:rPr>
        <w:t xml:space="preserve"> </w:t>
      </w:r>
      <w:r w:rsidRPr="00C320C7">
        <w:rPr>
          <w:rFonts w:ascii="Times New Roman" w:hAnsi="Times New Roman"/>
          <w:i/>
          <w:sz w:val="20"/>
          <w:szCs w:val="20"/>
        </w:rPr>
        <w:t>Демократска унија за интеграција</w:t>
      </w:r>
    </w:p>
  </w:footnote>
  <w:footnote w:id="7">
    <w:p w:rsidR="004004ED" w:rsidRPr="00C320C7" w:rsidRDefault="004004ED" w:rsidP="00C320C7">
      <w:pPr>
        <w:shd w:val="clear" w:color="auto" w:fill="FFFFFF"/>
        <w:spacing w:after="0" w:line="240" w:lineRule="auto"/>
        <w:jc w:val="both"/>
        <w:rPr>
          <w:rFonts w:ascii="Times New Roman" w:hAnsi="Times New Roman"/>
          <w:sz w:val="20"/>
          <w:szCs w:val="20"/>
        </w:rPr>
      </w:pPr>
      <w:r w:rsidRPr="00C320C7">
        <w:rPr>
          <w:rStyle w:val="FootnoteReference"/>
          <w:rFonts w:ascii="Times New Roman" w:hAnsi="Times New Roman"/>
          <w:sz w:val="20"/>
          <w:szCs w:val="20"/>
        </w:rPr>
        <w:sym w:font="Symbol" w:char="F02A"/>
      </w:r>
      <w:r w:rsidRPr="00C320C7">
        <w:rPr>
          <w:rFonts w:ascii="Times New Roman" w:hAnsi="Times New Roman"/>
          <w:sz w:val="20"/>
          <w:szCs w:val="20"/>
        </w:rPr>
        <w:t xml:space="preserve"> Оваа ознака не е во спротивност со ставовите за статус и во согласност е со Резолуцијата 1244/1999 на Советот за безбедност на Обединетите нации и Мислењето на МСП за прогласувањето независност на Косово.</w:t>
      </w:r>
    </w:p>
  </w:footnote>
  <w:footnote w:id="8">
    <w:p w:rsidR="004004ED" w:rsidRPr="00C320C7" w:rsidRDefault="004004ED" w:rsidP="00C320C7">
      <w:pPr>
        <w:pStyle w:val="FootnoteText"/>
        <w:spacing w:after="0" w:line="240" w:lineRule="auto"/>
        <w:rPr>
          <w:rFonts w:ascii="Times New Roman" w:hAnsi="Times New Roman"/>
          <w:sz w:val="20"/>
          <w:szCs w:val="20"/>
        </w:rPr>
      </w:pPr>
      <w:r w:rsidRPr="00C320C7">
        <w:rPr>
          <w:rStyle w:val="FootnoteReference"/>
          <w:rFonts w:ascii="Times New Roman" w:hAnsi="Times New Roman"/>
          <w:sz w:val="20"/>
          <w:szCs w:val="20"/>
        </w:rPr>
        <w:footnoteRef/>
      </w:r>
      <w:r w:rsidRPr="00C320C7">
        <w:rPr>
          <w:rFonts w:ascii="Times New Roman" w:hAnsi="Times New Roman"/>
          <w:sz w:val="20"/>
          <w:szCs w:val="20"/>
        </w:rPr>
        <w:t xml:space="preserve"> КОМ(2023) 730 последна верзија</w:t>
      </w:r>
    </w:p>
  </w:footnote>
  <w:footnote w:id="9">
    <w:p w:rsidR="004004ED" w:rsidRPr="00C320C7" w:rsidRDefault="004004ED" w:rsidP="00C320C7">
      <w:pPr>
        <w:pStyle w:val="FootnoteText"/>
        <w:spacing w:after="0" w:line="240" w:lineRule="auto"/>
        <w:jc w:val="both"/>
        <w:rPr>
          <w:rFonts w:ascii="Times New Roman" w:hAnsi="Times New Roman"/>
          <w:sz w:val="20"/>
          <w:szCs w:val="20"/>
        </w:rPr>
      </w:pPr>
      <w:r w:rsidRPr="00C320C7">
        <w:rPr>
          <w:rStyle w:val="FootnoteReference"/>
          <w:rFonts w:ascii="Times New Roman" w:hAnsi="Times New Roman"/>
          <w:sz w:val="20"/>
          <w:szCs w:val="20"/>
        </w:rPr>
        <w:footnoteRef/>
      </w:r>
      <w:r w:rsidRPr="00C320C7">
        <w:rPr>
          <w:rFonts w:ascii="Times New Roman" w:hAnsi="Times New Roman"/>
          <w:sz w:val="20"/>
          <w:szCs w:val="20"/>
        </w:rPr>
        <w:t xml:space="preserve"> Првиот преглед на ММФ на програмата PLL се одложил за април 2023 година, главно поради тоа што ММФ барал разјаснување за фискалните импликации од договорот (со еден извор) со американско-турскиот конзорциум Бехтел-Енка за изградба на автопатот од патниот Коридор 8/10д во вредност од 1,6 милијарди евра (околу 10 проценти од БДП).</w:t>
      </w:r>
    </w:p>
  </w:footnote>
  <w:footnote w:id="10">
    <w:p w:rsidR="004004ED" w:rsidRPr="00C320C7" w:rsidRDefault="004004ED" w:rsidP="00C320C7">
      <w:pPr>
        <w:shd w:val="clear" w:color="auto" w:fill="FFFFFF"/>
        <w:spacing w:after="0" w:line="240" w:lineRule="auto"/>
        <w:jc w:val="both"/>
        <w:rPr>
          <w:rFonts w:ascii="Times New Roman" w:hAnsi="Times New Roman"/>
          <w:sz w:val="20"/>
          <w:szCs w:val="20"/>
        </w:rPr>
      </w:pPr>
      <w:r w:rsidRPr="00C320C7">
        <w:rPr>
          <w:rStyle w:val="FootnoteReference"/>
          <w:rFonts w:ascii="Times New Roman" w:hAnsi="Times New Roman"/>
          <w:sz w:val="20"/>
          <w:szCs w:val="20"/>
        </w:rPr>
        <w:footnoteRef/>
      </w:r>
      <w:r w:rsidRPr="00C320C7">
        <w:rPr>
          <w:rFonts w:ascii="Times New Roman" w:hAnsi="Times New Roman"/>
          <w:sz w:val="20"/>
          <w:szCs w:val="20"/>
        </w:rPr>
        <w:t xml:space="preserve"> Планираното зголемување од 5 % на 10 % е одложено од јули 2022 година за јануари 2023 година.</w:t>
      </w:r>
    </w:p>
  </w:footnote>
  <w:footnote w:id="11">
    <w:p w:rsidR="004004ED" w:rsidRPr="00C320C7" w:rsidRDefault="004004ED" w:rsidP="00C320C7">
      <w:pPr>
        <w:pStyle w:val="FootnoteText"/>
        <w:spacing w:after="0" w:line="240" w:lineRule="auto"/>
        <w:jc w:val="both"/>
        <w:rPr>
          <w:rFonts w:ascii="Times New Roman" w:hAnsi="Times New Roman"/>
          <w:sz w:val="20"/>
          <w:szCs w:val="20"/>
        </w:rPr>
      </w:pPr>
      <w:r w:rsidRPr="00C320C7">
        <w:rPr>
          <w:rStyle w:val="FootnoteReference"/>
          <w:rFonts w:ascii="Times New Roman" w:hAnsi="Times New Roman"/>
          <w:sz w:val="20"/>
          <w:szCs w:val="20"/>
        </w:rPr>
        <w:footnoteRef/>
      </w:r>
      <w:r w:rsidRPr="00C320C7">
        <w:rPr>
          <w:rFonts w:ascii="Times New Roman" w:hAnsi="Times New Roman"/>
          <w:sz w:val="20"/>
          <w:szCs w:val="20"/>
        </w:rPr>
        <w:t xml:space="preserve"> Понатаму, во август 2023 година Владата ги донесе измените за проширување на даночната основа на Законот за акцизи со тоа што сѐ уште се чека нивно донесување во Собранието. Овие промени вклучуваат воведување акциза по вредност за пури и цигарилоси од 9 отсто и воведување нов акцизен календар што предвидува постепено зголемување на конкретни акцизи со текот на времето.</w:t>
      </w:r>
    </w:p>
  </w:footnote>
  <w:footnote w:id="12">
    <w:p w:rsidR="004004ED" w:rsidRPr="00C320C7" w:rsidRDefault="004004ED" w:rsidP="00C320C7">
      <w:pPr>
        <w:shd w:val="clear" w:color="auto" w:fill="FFFFFF"/>
        <w:spacing w:after="0" w:line="240" w:lineRule="auto"/>
        <w:jc w:val="both"/>
        <w:rPr>
          <w:rFonts w:ascii="Times New Roman" w:hAnsi="Times New Roman"/>
          <w:sz w:val="20"/>
          <w:szCs w:val="20"/>
        </w:rPr>
      </w:pPr>
      <w:r w:rsidRPr="00C320C7">
        <w:rPr>
          <w:rStyle w:val="FootnoteReference"/>
          <w:rFonts w:ascii="Times New Roman" w:hAnsi="Times New Roman"/>
          <w:sz w:val="20"/>
          <w:szCs w:val="20"/>
        </w:rPr>
        <w:footnoteRef/>
      </w:r>
      <w:r w:rsidRPr="00C320C7">
        <w:rPr>
          <w:rFonts w:ascii="Times New Roman" w:hAnsi="Times New Roman"/>
          <w:sz w:val="20"/>
          <w:szCs w:val="20"/>
        </w:rPr>
        <w:t xml:space="preserve"> Во новиот Закон за буџетите има барање во годишната фискална стратегија Владата да вклучи опис на фискалните ризици (минимум оние што се дел од потенцијалните обврски на Владата), а фискалниот совет да ги оцени фискалните ризици поврзани со различните јавни</w:t>
      </w:r>
      <w:r w:rsidR="00AF05B3" w:rsidRPr="00C320C7">
        <w:rPr>
          <w:rFonts w:ascii="Times New Roman" w:hAnsi="Times New Roman"/>
          <w:sz w:val="20"/>
          <w:szCs w:val="20"/>
        </w:rPr>
        <w:t xml:space="preserve"> субјекти, вклучително јавните </w:t>
      </w:r>
      <w:r w:rsidRPr="00C320C7">
        <w:rPr>
          <w:rFonts w:ascii="Times New Roman" w:hAnsi="Times New Roman"/>
          <w:sz w:val="20"/>
          <w:szCs w:val="20"/>
        </w:rPr>
        <w:t>претпријатија и јавните –приватни партнерства.</w:t>
      </w:r>
    </w:p>
  </w:footnote>
  <w:footnote w:id="13">
    <w:p w:rsidR="004004ED" w:rsidRPr="00C320C7" w:rsidRDefault="004004ED" w:rsidP="00C320C7">
      <w:pPr>
        <w:shd w:val="clear" w:color="auto" w:fill="FFFFFF"/>
        <w:spacing w:after="0" w:line="240" w:lineRule="auto"/>
        <w:jc w:val="both"/>
        <w:rPr>
          <w:rFonts w:ascii="Times New Roman" w:hAnsi="Times New Roman"/>
          <w:sz w:val="20"/>
          <w:szCs w:val="20"/>
        </w:rPr>
      </w:pPr>
      <w:r w:rsidRPr="00C320C7">
        <w:rPr>
          <w:rStyle w:val="FootnoteReference"/>
          <w:rFonts w:ascii="Times New Roman" w:hAnsi="Times New Roman"/>
          <w:sz w:val="20"/>
          <w:szCs w:val="20"/>
        </w:rPr>
        <w:footnoteRef/>
      </w:r>
      <w:r w:rsidRPr="00C320C7">
        <w:rPr>
          <w:rFonts w:ascii="Times New Roman" w:hAnsi="Times New Roman"/>
          <w:sz w:val="20"/>
          <w:szCs w:val="20"/>
        </w:rPr>
        <w:t xml:space="preserve"> Бројката на ММФ е во горниот опсег на процени.</w:t>
      </w:r>
    </w:p>
  </w:footnote>
  <w:footnote w:id="14">
    <w:p w:rsidR="004004ED" w:rsidRPr="00C320C7" w:rsidRDefault="004004ED" w:rsidP="00C320C7">
      <w:pPr>
        <w:shd w:val="clear" w:color="auto" w:fill="FFFFFF"/>
        <w:spacing w:after="0" w:line="240" w:lineRule="auto"/>
        <w:jc w:val="both"/>
        <w:rPr>
          <w:rFonts w:ascii="Times New Roman" w:hAnsi="Times New Roman"/>
          <w:sz w:val="20"/>
          <w:szCs w:val="20"/>
        </w:rPr>
      </w:pPr>
      <w:r w:rsidRPr="00C320C7">
        <w:rPr>
          <w:rStyle w:val="FootnoteReference"/>
          <w:rFonts w:ascii="Times New Roman" w:hAnsi="Times New Roman"/>
          <w:sz w:val="20"/>
          <w:szCs w:val="20"/>
        </w:rPr>
        <w:footnoteRef/>
      </w:r>
      <w:r w:rsidRPr="00C320C7">
        <w:rPr>
          <w:rFonts w:ascii="Times New Roman" w:hAnsi="Times New Roman"/>
          <w:sz w:val="20"/>
          <w:szCs w:val="20"/>
        </w:rPr>
        <w:t xml:space="preserve"> Бројките се засновани врз информации од Владата. Нова хармонизирана и меѓународно стандардизирана глобална база на податоци на претпријатија во државна сопственост на Светската банка укажува дека има 88 претпријатија во државна сопственост од кои 35 се 100 % во сопственост на Владата на Северна Македонија.</w:t>
      </w:r>
    </w:p>
  </w:footnote>
  <w:footnote w:id="15">
    <w:p w:rsidR="004004ED" w:rsidRPr="00C320C7" w:rsidRDefault="004004ED" w:rsidP="00C320C7">
      <w:pPr>
        <w:pStyle w:val="FootnoteText"/>
        <w:spacing w:after="0" w:line="240" w:lineRule="auto"/>
        <w:rPr>
          <w:rFonts w:ascii="Times New Roman" w:hAnsi="Times New Roman"/>
          <w:sz w:val="20"/>
          <w:szCs w:val="20"/>
        </w:rPr>
      </w:pPr>
      <w:r w:rsidRPr="00C320C7">
        <w:rPr>
          <w:rStyle w:val="FootnoteReference"/>
          <w:rFonts w:ascii="Times New Roman" w:hAnsi="Times New Roman"/>
          <w:sz w:val="20"/>
          <w:szCs w:val="20"/>
        </w:rPr>
        <w:footnoteRef/>
      </w:r>
      <w:r w:rsidRPr="00C320C7">
        <w:rPr>
          <w:rFonts w:ascii="Times New Roman" w:hAnsi="Times New Roman"/>
          <w:sz w:val="20"/>
          <w:szCs w:val="20"/>
        </w:rPr>
        <w:t xml:space="preserve"> ПИСА е Програма на ОЕЦД за меѓународна оцена на учениците.</w:t>
      </w:r>
    </w:p>
  </w:footnote>
  <w:footnote w:id="16">
    <w:p w:rsidR="004004ED" w:rsidRPr="00C320C7" w:rsidRDefault="004004ED" w:rsidP="00C320C7">
      <w:pPr>
        <w:shd w:val="clear" w:color="auto" w:fill="FFFFFF"/>
        <w:spacing w:after="0" w:line="240" w:lineRule="auto"/>
        <w:jc w:val="both"/>
        <w:rPr>
          <w:rFonts w:ascii="Times New Roman" w:hAnsi="Times New Roman"/>
          <w:sz w:val="20"/>
          <w:szCs w:val="20"/>
        </w:rPr>
      </w:pPr>
      <w:r w:rsidRPr="00C320C7">
        <w:rPr>
          <w:rStyle w:val="FootnoteReference"/>
          <w:rFonts w:ascii="Times New Roman" w:hAnsi="Times New Roman"/>
          <w:sz w:val="20"/>
          <w:szCs w:val="20"/>
        </w:rPr>
        <w:footnoteRef/>
      </w:r>
      <w:r w:rsidRPr="00C320C7">
        <w:rPr>
          <w:rFonts w:ascii="Times New Roman" w:hAnsi="Times New Roman"/>
          <w:sz w:val="20"/>
          <w:szCs w:val="20"/>
        </w:rPr>
        <w:t xml:space="preserve"> </w:t>
      </w:r>
      <w:r w:rsidRPr="00C320C7">
        <w:rPr>
          <w:rFonts w:ascii="Times New Roman" w:hAnsi="Times New Roman"/>
          <w:color w:val="000000"/>
          <w:sz w:val="20"/>
          <w:szCs w:val="20"/>
        </w:rPr>
        <w:t>Платите на јавниот сектор биле зголемени за 10 проценти во септември 2023 година, дополнително на линеарното зголемување како резултат на покачувањето на минималната плата во март 2023 година, како и неколку одделни одлуки со кои се овозможиле поголеми покачувања на платите спроведени во 2023 година. Повисокиот просек на номиналните плати го забрзал зголемувањето на пензиите според новата формула за индексирање, со што се зголемиле дополнителните притисоци на побарувачката.</w:t>
      </w:r>
    </w:p>
  </w:footnote>
  <w:footnote w:id="17">
    <w:p w:rsidR="004004ED" w:rsidRPr="00C320C7" w:rsidRDefault="004004ED" w:rsidP="00C320C7">
      <w:pPr>
        <w:shd w:val="clear" w:color="auto" w:fill="FFFFFF"/>
        <w:spacing w:after="0" w:line="240" w:lineRule="auto"/>
        <w:jc w:val="both"/>
        <w:rPr>
          <w:rFonts w:ascii="Times New Roman" w:hAnsi="Times New Roman"/>
          <w:sz w:val="20"/>
          <w:szCs w:val="20"/>
        </w:rPr>
      </w:pPr>
      <w:r w:rsidRPr="00C320C7">
        <w:rPr>
          <w:rStyle w:val="FootnoteReference"/>
          <w:rFonts w:ascii="Times New Roman" w:hAnsi="Times New Roman"/>
          <w:sz w:val="20"/>
          <w:szCs w:val="20"/>
        </w:rPr>
        <w:footnoteRef/>
      </w:r>
      <w:r w:rsidR="00EF6391" w:rsidRPr="00C320C7">
        <w:rPr>
          <w:rFonts w:ascii="Times New Roman" w:hAnsi="Times New Roman"/>
          <w:color w:val="000000"/>
          <w:sz w:val="20"/>
          <w:szCs w:val="20"/>
        </w:rPr>
        <w:t xml:space="preserve"> </w:t>
      </w:r>
      <w:r w:rsidRPr="00C320C7">
        <w:rPr>
          <w:rFonts w:ascii="Times New Roman" w:hAnsi="Times New Roman"/>
          <w:color w:val="000000"/>
          <w:sz w:val="20"/>
          <w:szCs w:val="20"/>
        </w:rPr>
        <w:t>Сл</w:t>
      </w:r>
      <w:r w:rsidR="00EF6391" w:rsidRPr="00C320C7">
        <w:rPr>
          <w:rFonts w:ascii="Times New Roman" w:hAnsi="Times New Roman"/>
          <w:color w:val="000000"/>
          <w:sz w:val="20"/>
          <w:szCs w:val="20"/>
        </w:rPr>
        <w:t>.</w:t>
      </w:r>
      <w:r w:rsidRPr="00C320C7">
        <w:rPr>
          <w:rFonts w:ascii="Times New Roman" w:hAnsi="Times New Roman"/>
          <w:color w:val="000000"/>
          <w:sz w:val="20"/>
          <w:szCs w:val="20"/>
        </w:rPr>
        <w:t xml:space="preserve"> весник L 330, 20.9.2021 година</w:t>
      </w:r>
      <w:r w:rsidR="00652875" w:rsidRPr="00C320C7">
        <w:rPr>
          <w:rFonts w:ascii="Times New Roman" w:hAnsi="Times New Roman"/>
          <w:color w:val="000000"/>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4ED" w:rsidRPr="006B2E1F" w:rsidRDefault="004004ED" w:rsidP="006B2E1F">
    <w:pPr>
      <w:jc w:val="center"/>
      <w:rPr>
        <w:rFonts w:ascii="Times New Roman" w:hAnsi="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hideGrammatical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GwMDYwNjQxMzU0NTNW0lEKTi0uzszPAykwqQUAYdyEfiwAAAA="/>
  </w:docVars>
  <w:rsids>
    <w:rsidRoot w:val="004B28D4"/>
    <w:rsid w:val="00004C91"/>
    <w:rsid w:val="0000595E"/>
    <w:rsid w:val="000147A7"/>
    <w:rsid w:val="000241FC"/>
    <w:rsid w:val="00031BE2"/>
    <w:rsid w:val="00036DC7"/>
    <w:rsid w:val="00044F29"/>
    <w:rsid w:val="00046B70"/>
    <w:rsid w:val="00050395"/>
    <w:rsid w:val="0005499E"/>
    <w:rsid w:val="00057AB7"/>
    <w:rsid w:val="00061FDE"/>
    <w:rsid w:val="0006499A"/>
    <w:rsid w:val="000720A9"/>
    <w:rsid w:val="000723CD"/>
    <w:rsid w:val="0008275C"/>
    <w:rsid w:val="00086114"/>
    <w:rsid w:val="00091919"/>
    <w:rsid w:val="000A44CC"/>
    <w:rsid w:val="000C4813"/>
    <w:rsid w:val="000C694F"/>
    <w:rsid w:val="000D4749"/>
    <w:rsid w:val="000E004D"/>
    <w:rsid w:val="000E501C"/>
    <w:rsid w:val="000F1C1D"/>
    <w:rsid w:val="000F3C27"/>
    <w:rsid w:val="00114671"/>
    <w:rsid w:val="00120123"/>
    <w:rsid w:val="00142786"/>
    <w:rsid w:val="001450A9"/>
    <w:rsid w:val="0015672B"/>
    <w:rsid w:val="00170AA2"/>
    <w:rsid w:val="0017438F"/>
    <w:rsid w:val="00183329"/>
    <w:rsid w:val="0019441E"/>
    <w:rsid w:val="001A492A"/>
    <w:rsid w:val="001A689F"/>
    <w:rsid w:val="001A7F5B"/>
    <w:rsid w:val="001B0AF5"/>
    <w:rsid w:val="001C67AD"/>
    <w:rsid w:val="001D0C5E"/>
    <w:rsid w:val="001D451C"/>
    <w:rsid w:val="001E1B36"/>
    <w:rsid w:val="001E20DA"/>
    <w:rsid w:val="001F0BB1"/>
    <w:rsid w:val="001F0D51"/>
    <w:rsid w:val="001F1740"/>
    <w:rsid w:val="001F22F9"/>
    <w:rsid w:val="001F3E4E"/>
    <w:rsid w:val="0021101C"/>
    <w:rsid w:val="0021414C"/>
    <w:rsid w:val="0021424C"/>
    <w:rsid w:val="00222F86"/>
    <w:rsid w:val="00225845"/>
    <w:rsid w:val="002312C1"/>
    <w:rsid w:val="00232B15"/>
    <w:rsid w:val="00270B5B"/>
    <w:rsid w:val="002722A9"/>
    <w:rsid w:val="00277062"/>
    <w:rsid w:val="00284884"/>
    <w:rsid w:val="00287E9F"/>
    <w:rsid w:val="002A0B3F"/>
    <w:rsid w:val="002A5E68"/>
    <w:rsid w:val="002E5D1F"/>
    <w:rsid w:val="002F0C5B"/>
    <w:rsid w:val="003052A4"/>
    <w:rsid w:val="00306071"/>
    <w:rsid w:val="003172DE"/>
    <w:rsid w:val="00363C5F"/>
    <w:rsid w:val="00366E6C"/>
    <w:rsid w:val="00372C80"/>
    <w:rsid w:val="00374AD8"/>
    <w:rsid w:val="00382C20"/>
    <w:rsid w:val="00397003"/>
    <w:rsid w:val="00397C4A"/>
    <w:rsid w:val="003A2072"/>
    <w:rsid w:val="003D0E0B"/>
    <w:rsid w:val="003D257B"/>
    <w:rsid w:val="003E23DF"/>
    <w:rsid w:val="003E367E"/>
    <w:rsid w:val="003E39C6"/>
    <w:rsid w:val="003E5754"/>
    <w:rsid w:val="004004ED"/>
    <w:rsid w:val="004108F2"/>
    <w:rsid w:val="0041357E"/>
    <w:rsid w:val="00413E57"/>
    <w:rsid w:val="0042396A"/>
    <w:rsid w:val="00431B18"/>
    <w:rsid w:val="00432FA3"/>
    <w:rsid w:val="004343AD"/>
    <w:rsid w:val="00437099"/>
    <w:rsid w:val="004376E5"/>
    <w:rsid w:val="004533FE"/>
    <w:rsid w:val="0046029B"/>
    <w:rsid w:val="00467B9C"/>
    <w:rsid w:val="00476212"/>
    <w:rsid w:val="0048367D"/>
    <w:rsid w:val="00496C19"/>
    <w:rsid w:val="004A0F0D"/>
    <w:rsid w:val="004A1128"/>
    <w:rsid w:val="004A5AD0"/>
    <w:rsid w:val="004B28D4"/>
    <w:rsid w:val="004C0150"/>
    <w:rsid w:val="004C1B00"/>
    <w:rsid w:val="004D162D"/>
    <w:rsid w:val="004D24F3"/>
    <w:rsid w:val="004D4146"/>
    <w:rsid w:val="004D451D"/>
    <w:rsid w:val="004F708A"/>
    <w:rsid w:val="004F7404"/>
    <w:rsid w:val="00504BE1"/>
    <w:rsid w:val="00510023"/>
    <w:rsid w:val="005101D9"/>
    <w:rsid w:val="005117E4"/>
    <w:rsid w:val="00515ACA"/>
    <w:rsid w:val="005270D2"/>
    <w:rsid w:val="00530B40"/>
    <w:rsid w:val="00534D70"/>
    <w:rsid w:val="0054108A"/>
    <w:rsid w:val="00542C82"/>
    <w:rsid w:val="00551C90"/>
    <w:rsid w:val="00561D94"/>
    <w:rsid w:val="00572F9D"/>
    <w:rsid w:val="00587EB0"/>
    <w:rsid w:val="00596089"/>
    <w:rsid w:val="005A7633"/>
    <w:rsid w:val="005B46BF"/>
    <w:rsid w:val="005C1871"/>
    <w:rsid w:val="005C255A"/>
    <w:rsid w:val="005C7D62"/>
    <w:rsid w:val="005D37D2"/>
    <w:rsid w:val="005F74EA"/>
    <w:rsid w:val="006064D8"/>
    <w:rsid w:val="00607C83"/>
    <w:rsid w:val="006130DE"/>
    <w:rsid w:val="006143CA"/>
    <w:rsid w:val="00616575"/>
    <w:rsid w:val="00625C84"/>
    <w:rsid w:val="00637AC6"/>
    <w:rsid w:val="006471C8"/>
    <w:rsid w:val="00651813"/>
    <w:rsid w:val="00652875"/>
    <w:rsid w:val="006546D7"/>
    <w:rsid w:val="006660BA"/>
    <w:rsid w:val="00666600"/>
    <w:rsid w:val="00672D3C"/>
    <w:rsid w:val="00682E02"/>
    <w:rsid w:val="006830D2"/>
    <w:rsid w:val="00686158"/>
    <w:rsid w:val="006B2E1F"/>
    <w:rsid w:val="006B3D9A"/>
    <w:rsid w:val="006B3F43"/>
    <w:rsid w:val="006B4652"/>
    <w:rsid w:val="006B54F6"/>
    <w:rsid w:val="006B55F4"/>
    <w:rsid w:val="006B7188"/>
    <w:rsid w:val="006D176D"/>
    <w:rsid w:val="006D321A"/>
    <w:rsid w:val="006F5165"/>
    <w:rsid w:val="006F54DA"/>
    <w:rsid w:val="00704F81"/>
    <w:rsid w:val="00716C0B"/>
    <w:rsid w:val="007172BD"/>
    <w:rsid w:val="00721A72"/>
    <w:rsid w:val="00725989"/>
    <w:rsid w:val="007439E1"/>
    <w:rsid w:val="007441E2"/>
    <w:rsid w:val="00746B43"/>
    <w:rsid w:val="00763364"/>
    <w:rsid w:val="00763A22"/>
    <w:rsid w:val="0078123B"/>
    <w:rsid w:val="00781F8F"/>
    <w:rsid w:val="00792FBA"/>
    <w:rsid w:val="00794C13"/>
    <w:rsid w:val="00796994"/>
    <w:rsid w:val="007B20A2"/>
    <w:rsid w:val="007C1F1A"/>
    <w:rsid w:val="007C494A"/>
    <w:rsid w:val="007D7833"/>
    <w:rsid w:val="007E0AA8"/>
    <w:rsid w:val="007E3A4C"/>
    <w:rsid w:val="007E5E4A"/>
    <w:rsid w:val="007F25E4"/>
    <w:rsid w:val="007F5943"/>
    <w:rsid w:val="00807BC2"/>
    <w:rsid w:val="008126AC"/>
    <w:rsid w:val="00814657"/>
    <w:rsid w:val="008179E8"/>
    <w:rsid w:val="0082121B"/>
    <w:rsid w:val="00831A49"/>
    <w:rsid w:val="00844A5B"/>
    <w:rsid w:val="0086766A"/>
    <w:rsid w:val="00873720"/>
    <w:rsid w:val="00877B47"/>
    <w:rsid w:val="00880B40"/>
    <w:rsid w:val="00881B4A"/>
    <w:rsid w:val="008902AE"/>
    <w:rsid w:val="0089059D"/>
    <w:rsid w:val="008943D6"/>
    <w:rsid w:val="00895212"/>
    <w:rsid w:val="008A58FF"/>
    <w:rsid w:val="008B0FC0"/>
    <w:rsid w:val="008B1EFA"/>
    <w:rsid w:val="008B635C"/>
    <w:rsid w:val="008D3A90"/>
    <w:rsid w:val="008D6394"/>
    <w:rsid w:val="008D6AE4"/>
    <w:rsid w:val="008E0B40"/>
    <w:rsid w:val="008E61C6"/>
    <w:rsid w:val="008E6E56"/>
    <w:rsid w:val="00914C9E"/>
    <w:rsid w:val="0092323D"/>
    <w:rsid w:val="00934D09"/>
    <w:rsid w:val="00936EE9"/>
    <w:rsid w:val="00951662"/>
    <w:rsid w:val="00956AF5"/>
    <w:rsid w:val="00956E61"/>
    <w:rsid w:val="009642BF"/>
    <w:rsid w:val="00972D91"/>
    <w:rsid w:val="009768C4"/>
    <w:rsid w:val="009802BF"/>
    <w:rsid w:val="00981475"/>
    <w:rsid w:val="00996E1E"/>
    <w:rsid w:val="00996EC8"/>
    <w:rsid w:val="009A0B87"/>
    <w:rsid w:val="009A0C59"/>
    <w:rsid w:val="009A4D9E"/>
    <w:rsid w:val="009A5036"/>
    <w:rsid w:val="009A6745"/>
    <w:rsid w:val="009B00C6"/>
    <w:rsid w:val="009B4CEA"/>
    <w:rsid w:val="009C7F22"/>
    <w:rsid w:val="009D106B"/>
    <w:rsid w:val="009D5863"/>
    <w:rsid w:val="009E231C"/>
    <w:rsid w:val="009F2949"/>
    <w:rsid w:val="00A039A0"/>
    <w:rsid w:val="00A16E33"/>
    <w:rsid w:val="00A21CAB"/>
    <w:rsid w:val="00A3154D"/>
    <w:rsid w:val="00A34C3A"/>
    <w:rsid w:val="00A36B64"/>
    <w:rsid w:val="00A41B10"/>
    <w:rsid w:val="00A51DA4"/>
    <w:rsid w:val="00A563A1"/>
    <w:rsid w:val="00A63B2E"/>
    <w:rsid w:val="00A661C4"/>
    <w:rsid w:val="00A665F6"/>
    <w:rsid w:val="00A758FB"/>
    <w:rsid w:val="00A77D6A"/>
    <w:rsid w:val="00A848FB"/>
    <w:rsid w:val="00A860E5"/>
    <w:rsid w:val="00A87471"/>
    <w:rsid w:val="00A94191"/>
    <w:rsid w:val="00A95909"/>
    <w:rsid w:val="00A96B68"/>
    <w:rsid w:val="00A97920"/>
    <w:rsid w:val="00AA0592"/>
    <w:rsid w:val="00AA4DBC"/>
    <w:rsid w:val="00AA5841"/>
    <w:rsid w:val="00AB065D"/>
    <w:rsid w:val="00AB1080"/>
    <w:rsid w:val="00AB6C4C"/>
    <w:rsid w:val="00AE33AF"/>
    <w:rsid w:val="00AE4950"/>
    <w:rsid w:val="00AE7CD7"/>
    <w:rsid w:val="00AF05B3"/>
    <w:rsid w:val="00AF6210"/>
    <w:rsid w:val="00AF7A73"/>
    <w:rsid w:val="00AF7F57"/>
    <w:rsid w:val="00B04A16"/>
    <w:rsid w:val="00B17AF9"/>
    <w:rsid w:val="00B22F3E"/>
    <w:rsid w:val="00B33A84"/>
    <w:rsid w:val="00B3536B"/>
    <w:rsid w:val="00B47983"/>
    <w:rsid w:val="00B527CE"/>
    <w:rsid w:val="00B76D43"/>
    <w:rsid w:val="00B77DC4"/>
    <w:rsid w:val="00B8439C"/>
    <w:rsid w:val="00B873C9"/>
    <w:rsid w:val="00B93468"/>
    <w:rsid w:val="00B9372E"/>
    <w:rsid w:val="00B93D81"/>
    <w:rsid w:val="00B9657C"/>
    <w:rsid w:val="00BA0561"/>
    <w:rsid w:val="00BB6E2C"/>
    <w:rsid w:val="00BC224A"/>
    <w:rsid w:val="00BC453B"/>
    <w:rsid w:val="00BD7DD5"/>
    <w:rsid w:val="00BE2CB6"/>
    <w:rsid w:val="00BE450C"/>
    <w:rsid w:val="00BE5770"/>
    <w:rsid w:val="00BE5C05"/>
    <w:rsid w:val="00BF5202"/>
    <w:rsid w:val="00BF7D21"/>
    <w:rsid w:val="00C13086"/>
    <w:rsid w:val="00C226A1"/>
    <w:rsid w:val="00C24B23"/>
    <w:rsid w:val="00C320C7"/>
    <w:rsid w:val="00C33F35"/>
    <w:rsid w:val="00C37551"/>
    <w:rsid w:val="00C526CF"/>
    <w:rsid w:val="00C64C1B"/>
    <w:rsid w:val="00C65099"/>
    <w:rsid w:val="00C731A4"/>
    <w:rsid w:val="00C741E2"/>
    <w:rsid w:val="00C77C26"/>
    <w:rsid w:val="00C823BE"/>
    <w:rsid w:val="00C82BEE"/>
    <w:rsid w:val="00C93D15"/>
    <w:rsid w:val="00CA0C1C"/>
    <w:rsid w:val="00CA4698"/>
    <w:rsid w:val="00CB1ABC"/>
    <w:rsid w:val="00CB278E"/>
    <w:rsid w:val="00CD0D3B"/>
    <w:rsid w:val="00CD3BAD"/>
    <w:rsid w:val="00CD48B8"/>
    <w:rsid w:val="00CD67C8"/>
    <w:rsid w:val="00CE5607"/>
    <w:rsid w:val="00CF649B"/>
    <w:rsid w:val="00D043A8"/>
    <w:rsid w:val="00D07A7F"/>
    <w:rsid w:val="00D10E2B"/>
    <w:rsid w:val="00D14E3C"/>
    <w:rsid w:val="00D23B2C"/>
    <w:rsid w:val="00D30E94"/>
    <w:rsid w:val="00D34BFA"/>
    <w:rsid w:val="00D50554"/>
    <w:rsid w:val="00D90D9B"/>
    <w:rsid w:val="00D92F90"/>
    <w:rsid w:val="00D95CA6"/>
    <w:rsid w:val="00D96768"/>
    <w:rsid w:val="00D971C4"/>
    <w:rsid w:val="00DA0567"/>
    <w:rsid w:val="00DB3C3D"/>
    <w:rsid w:val="00DC66A8"/>
    <w:rsid w:val="00DE690D"/>
    <w:rsid w:val="00DF5968"/>
    <w:rsid w:val="00DF6D03"/>
    <w:rsid w:val="00DF733D"/>
    <w:rsid w:val="00E04633"/>
    <w:rsid w:val="00E04B6D"/>
    <w:rsid w:val="00E1428A"/>
    <w:rsid w:val="00E22D26"/>
    <w:rsid w:val="00E256EB"/>
    <w:rsid w:val="00E332B0"/>
    <w:rsid w:val="00E34494"/>
    <w:rsid w:val="00E4096E"/>
    <w:rsid w:val="00E4122E"/>
    <w:rsid w:val="00E45F9B"/>
    <w:rsid w:val="00E52D1F"/>
    <w:rsid w:val="00E57A28"/>
    <w:rsid w:val="00E61BAE"/>
    <w:rsid w:val="00E7011F"/>
    <w:rsid w:val="00E70447"/>
    <w:rsid w:val="00E7409A"/>
    <w:rsid w:val="00E75A4D"/>
    <w:rsid w:val="00E8316C"/>
    <w:rsid w:val="00E83CD1"/>
    <w:rsid w:val="00E85515"/>
    <w:rsid w:val="00E906A4"/>
    <w:rsid w:val="00E907E9"/>
    <w:rsid w:val="00E977F6"/>
    <w:rsid w:val="00EA2A0A"/>
    <w:rsid w:val="00EA7926"/>
    <w:rsid w:val="00EB172B"/>
    <w:rsid w:val="00EB1C1C"/>
    <w:rsid w:val="00EB1E7C"/>
    <w:rsid w:val="00EB5FEE"/>
    <w:rsid w:val="00EC146A"/>
    <w:rsid w:val="00EC192E"/>
    <w:rsid w:val="00ED23CA"/>
    <w:rsid w:val="00ED2B32"/>
    <w:rsid w:val="00EE0E6B"/>
    <w:rsid w:val="00EE101A"/>
    <w:rsid w:val="00EE23E2"/>
    <w:rsid w:val="00EF10B7"/>
    <w:rsid w:val="00EF6391"/>
    <w:rsid w:val="00F202AC"/>
    <w:rsid w:val="00F371E7"/>
    <w:rsid w:val="00F37E78"/>
    <w:rsid w:val="00F433D8"/>
    <w:rsid w:val="00F469AE"/>
    <w:rsid w:val="00F6074B"/>
    <w:rsid w:val="00F63973"/>
    <w:rsid w:val="00F63ED0"/>
    <w:rsid w:val="00F65567"/>
    <w:rsid w:val="00F723AA"/>
    <w:rsid w:val="00F82EB2"/>
    <w:rsid w:val="00F83145"/>
    <w:rsid w:val="00F872B7"/>
    <w:rsid w:val="00F9149B"/>
    <w:rsid w:val="00F91949"/>
    <w:rsid w:val="00F91FC6"/>
    <w:rsid w:val="00F94F59"/>
    <w:rsid w:val="00F95E01"/>
    <w:rsid w:val="00FA0763"/>
    <w:rsid w:val="00FA3338"/>
    <w:rsid w:val="00FA6CB8"/>
    <w:rsid w:val="00FB0E60"/>
    <w:rsid w:val="00FB1354"/>
    <w:rsid w:val="00FB1F55"/>
    <w:rsid w:val="00FB31F5"/>
    <w:rsid w:val="00FE2D5C"/>
    <w:rsid w:val="00FF212E"/>
    <w:rsid w:val="00FF4505"/>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58C8A8-381B-4E54-9C8A-68E551869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8D4"/>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4B28D4"/>
    <w:pPr>
      <w:keepNext/>
      <w:keepLines/>
      <w:spacing w:before="480" w:after="0"/>
      <w:outlineLvl w:val="0"/>
    </w:pPr>
    <w:rPr>
      <w:rFonts w:ascii="Times New Roman" w:eastAsia="Times New Roman" w:hAnsi="Times New Roman"/>
      <w:b/>
      <w:bCs/>
      <w:sz w:val="24"/>
      <w:szCs w:val="28"/>
    </w:rPr>
  </w:style>
  <w:style w:type="paragraph" w:styleId="Heading2">
    <w:name w:val="heading 2"/>
    <w:basedOn w:val="Normal"/>
    <w:next w:val="Normal"/>
    <w:link w:val="Heading2Char"/>
    <w:uiPriority w:val="9"/>
    <w:unhideWhenUsed/>
    <w:qFormat/>
    <w:rsid w:val="004B28D4"/>
    <w:pPr>
      <w:keepNext/>
      <w:keepLines/>
      <w:spacing w:before="200" w:after="0"/>
      <w:outlineLvl w:val="1"/>
    </w:pPr>
    <w:rPr>
      <w:rFonts w:ascii="Times New Roman" w:eastAsia="Times New Roman" w:hAnsi="Times New Roman"/>
      <w:b/>
      <w:bCs/>
      <w:sz w:val="24"/>
      <w:szCs w:val="26"/>
    </w:rPr>
  </w:style>
  <w:style w:type="paragraph" w:styleId="Heading3">
    <w:name w:val="heading 3"/>
    <w:basedOn w:val="Normal"/>
    <w:next w:val="Normal"/>
    <w:link w:val="Heading3Char"/>
    <w:uiPriority w:val="9"/>
    <w:unhideWhenUsed/>
    <w:qFormat/>
    <w:rsid w:val="006B3D9A"/>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8D4"/>
    <w:rPr>
      <w:rFonts w:ascii="Times New Roman" w:eastAsia="Times New Roman" w:hAnsi="Times New Roman" w:cs="Times New Roman"/>
      <w:b/>
      <w:bCs/>
      <w:sz w:val="24"/>
      <w:szCs w:val="28"/>
      <w:lang w:val="mk-MK"/>
    </w:rPr>
  </w:style>
  <w:style w:type="character" w:customStyle="1" w:styleId="Heading2Char">
    <w:name w:val="Heading 2 Char"/>
    <w:basedOn w:val="DefaultParagraphFont"/>
    <w:link w:val="Heading2"/>
    <w:uiPriority w:val="9"/>
    <w:rsid w:val="004B28D4"/>
    <w:rPr>
      <w:rFonts w:ascii="Times New Roman" w:eastAsia="Times New Roman" w:hAnsi="Times New Roman" w:cs="Times New Roman"/>
      <w:b/>
      <w:bCs/>
      <w:sz w:val="24"/>
      <w:szCs w:val="26"/>
      <w:lang w:val="mk-MK"/>
    </w:rPr>
  </w:style>
  <w:style w:type="paragraph" w:styleId="FootnoteText">
    <w:name w:val="footnote text"/>
    <w:basedOn w:val="Normal"/>
    <w:link w:val="FootnoteTextChar"/>
    <w:uiPriority w:val="99"/>
    <w:semiHidden/>
    <w:unhideWhenUsed/>
    <w:rsid w:val="004B28D4"/>
  </w:style>
  <w:style w:type="character" w:customStyle="1" w:styleId="FootnoteTextChar">
    <w:name w:val="Footnote Text Char"/>
    <w:basedOn w:val="DefaultParagraphFont"/>
    <w:link w:val="FootnoteText"/>
    <w:uiPriority w:val="99"/>
    <w:semiHidden/>
    <w:rsid w:val="004B28D4"/>
    <w:rPr>
      <w:rFonts w:ascii="Calibri" w:eastAsia="Calibri" w:hAnsi="Calibri" w:cs="Times New Roman"/>
      <w:lang w:val="mk-MK"/>
    </w:rPr>
  </w:style>
  <w:style w:type="character" w:styleId="FootnoteReference">
    <w:name w:val="footnote reference"/>
    <w:uiPriority w:val="99"/>
    <w:semiHidden/>
    <w:unhideWhenUsed/>
    <w:rsid w:val="004B28D4"/>
    <w:rPr>
      <w:vertAlign w:val="superscript"/>
    </w:rPr>
  </w:style>
  <w:style w:type="paragraph" w:styleId="BodyText">
    <w:name w:val="Body Text"/>
    <w:basedOn w:val="Normal"/>
    <w:link w:val="BodyTextChar"/>
    <w:uiPriority w:val="1"/>
    <w:rsid w:val="004B28D4"/>
    <w:pPr>
      <w:spacing w:before="120"/>
      <w:ind w:left="980" w:right="976"/>
      <w:jc w:val="both"/>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4B28D4"/>
    <w:rPr>
      <w:rFonts w:ascii="Times New Roman" w:eastAsia="Times New Roman" w:hAnsi="Times New Roman" w:cs="Times New Roman"/>
      <w:sz w:val="24"/>
      <w:szCs w:val="24"/>
      <w:lang w:val="mk-MK"/>
    </w:rPr>
  </w:style>
  <w:style w:type="paragraph" w:styleId="Title">
    <w:name w:val="Title"/>
    <w:basedOn w:val="Normal"/>
    <w:link w:val="TitleChar"/>
    <w:uiPriority w:val="10"/>
    <w:qFormat/>
    <w:rsid w:val="004B28D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4B28D4"/>
    <w:rPr>
      <w:rFonts w:ascii="Cambria" w:eastAsia="Times New Roman" w:hAnsi="Cambria" w:cs="Times New Roman"/>
      <w:color w:val="17365D"/>
      <w:spacing w:val="5"/>
      <w:kern w:val="28"/>
      <w:sz w:val="52"/>
      <w:szCs w:val="52"/>
      <w:lang w:val="mk-MK"/>
    </w:rPr>
  </w:style>
  <w:style w:type="paragraph" w:styleId="TOCHeading">
    <w:name w:val="TOC Heading"/>
    <w:basedOn w:val="Heading1"/>
    <w:next w:val="Normal"/>
    <w:uiPriority w:val="39"/>
    <w:unhideWhenUsed/>
    <w:qFormat/>
    <w:rsid w:val="004B28D4"/>
    <w:pPr>
      <w:outlineLvl w:val="9"/>
    </w:pPr>
    <w:rPr>
      <w:rFonts w:ascii="Cambria" w:hAnsi="Cambria"/>
      <w:color w:val="365F91"/>
      <w:sz w:val="28"/>
      <w:lang w:eastAsia="ja-JP"/>
    </w:rPr>
  </w:style>
  <w:style w:type="paragraph" w:styleId="TOC1">
    <w:name w:val="toc 1"/>
    <w:basedOn w:val="Normal"/>
    <w:next w:val="Normal"/>
    <w:autoRedefine/>
    <w:uiPriority w:val="39"/>
    <w:unhideWhenUsed/>
    <w:rsid w:val="004B28D4"/>
    <w:pPr>
      <w:tabs>
        <w:tab w:val="left" w:pos="567"/>
        <w:tab w:val="right" w:leader="dot" w:pos="9019"/>
      </w:tabs>
    </w:pPr>
  </w:style>
  <w:style w:type="paragraph" w:styleId="TOC2">
    <w:name w:val="toc 2"/>
    <w:basedOn w:val="Normal"/>
    <w:next w:val="Normal"/>
    <w:autoRedefine/>
    <w:uiPriority w:val="39"/>
    <w:unhideWhenUsed/>
    <w:rsid w:val="004B28D4"/>
    <w:pPr>
      <w:tabs>
        <w:tab w:val="right" w:leader="dot" w:pos="9019"/>
      </w:tabs>
      <w:spacing w:after="0" w:line="240" w:lineRule="auto"/>
      <w:ind w:left="221"/>
    </w:pPr>
  </w:style>
  <w:style w:type="character" w:styleId="Hyperlink">
    <w:name w:val="Hyperlink"/>
    <w:uiPriority w:val="99"/>
    <w:unhideWhenUsed/>
    <w:rsid w:val="004B28D4"/>
    <w:rPr>
      <w:color w:val="0000FF"/>
      <w:u w:val="single"/>
    </w:rPr>
  </w:style>
  <w:style w:type="paragraph" w:styleId="Revision">
    <w:name w:val="Revision"/>
    <w:hidden/>
    <w:uiPriority w:val="99"/>
    <w:semiHidden/>
    <w:rsid w:val="001F0D5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874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471"/>
    <w:rPr>
      <w:rFonts w:ascii="Segoe UI" w:eastAsia="Calibri" w:hAnsi="Segoe UI" w:cs="Segoe UI"/>
      <w:sz w:val="18"/>
      <w:szCs w:val="18"/>
    </w:rPr>
  </w:style>
  <w:style w:type="paragraph" w:styleId="Header">
    <w:name w:val="header"/>
    <w:basedOn w:val="Normal"/>
    <w:link w:val="HeaderChar"/>
    <w:uiPriority w:val="99"/>
    <w:unhideWhenUsed/>
    <w:rsid w:val="006B2E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E1F"/>
    <w:rPr>
      <w:rFonts w:ascii="Calibri" w:eastAsia="Calibri" w:hAnsi="Calibri" w:cs="Times New Roman"/>
    </w:rPr>
  </w:style>
  <w:style w:type="paragraph" w:styleId="Footer">
    <w:name w:val="footer"/>
    <w:basedOn w:val="Normal"/>
    <w:link w:val="FooterChar"/>
    <w:uiPriority w:val="99"/>
    <w:unhideWhenUsed/>
    <w:rsid w:val="006B2E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E1F"/>
    <w:rPr>
      <w:rFonts w:ascii="Calibri" w:eastAsia="Calibri" w:hAnsi="Calibri" w:cs="Times New Roman"/>
    </w:rPr>
  </w:style>
  <w:style w:type="character" w:customStyle="1" w:styleId="CommentTextChar">
    <w:name w:val="Comment Text Char"/>
    <w:basedOn w:val="DefaultParagraphFont"/>
    <w:link w:val="CommentText"/>
    <w:uiPriority w:val="99"/>
    <w:semiHidden/>
    <w:rsid w:val="009768C4"/>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9768C4"/>
    <w:rPr>
      <w:sz w:val="20"/>
      <w:szCs w:val="20"/>
    </w:rPr>
  </w:style>
  <w:style w:type="character" w:customStyle="1" w:styleId="CommentSubjectChar">
    <w:name w:val="Comment Subject Char"/>
    <w:basedOn w:val="CommentTextChar"/>
    <w:link w:val="CommentSubject"/>
    <w:uiPriority w:val="99"/>
    <w:semiHidden/>
    <w:rsid w:val="009768C4"/>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9768C4"/>
    <w:rPr>
      <w:b/>
      <w:bCs/>
    </w:rPr>
  </w:style>
  <w:style w:type="character" w:customStyle="1" w:styleId="Heading3Char">
    <w:name w:val="Heading 3 Char"/>
    <w:basedOn w:val="DefaultParagraphFont"/>
    <w:link w:val="Heading3"/>
    <w:uiPriority w:val="9"/>
    <w:semiHidden/>
    <w:rsid w:val="006B3D9A"/>
    <w:rPr>
      <w:rFonts w:ascii="Calibri Light" w:eastAsia="Times New Roman" w:hAnsi="Calibri Light" w:cs="Times New Roman"/>
      <w:color w:val="1F4D78"/>
      <w:sz w:val="24"/>
      <w:szCs w:val="24"/>
    </w:rPr>
  </w:style>
  <w:style w:type="character" w:styleId="CommentReference">
    <w:name w:val="annotation reference"/>
    <w:uiPriority w:val="99"/>
    <w:semiHidden/>
    <w:unhideWhenUsed/>
    <w:rsid w:val="009768C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uslugi.gov.m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156</Pages>
  <Words>72011</Words>
  <Characters>410463</Characters>
  <Application>Microsoft Office Word</Application>
  <DocSecurity>0</DocSecurity>
  <Lines>3420</Lines>
  <Paragraphs>963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account;СА</dc:creator>
  <cp:lastModifiedBy>С Ангелова</cp:lastModifiedBy>
  <cp:revision>2</cp:revision>
  <dcterms:created xsi:type="dcterms:W3CDTF">2023-11-15T09:10:00Z</dcterms:created>
  <dcterms:modified xsi:type="dcterms:W3CDTF">2023-11-15T09:10:00Z</dcterms:modified>
</cp:coreProperties>
</file>