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00" w:lineRule="auto"/>
        <w:jc w:val="center"/>
        <w:rPr>
          <w:rFonts w:ascii="Arial Narrow" w:cs="Arial Narrow" w:eastAsia="Arial Narrow" w:hAnsi="Arial Narrow"/>
          <w:b w:val="1"/>
          <w:sz w:val="26"/>
          <w:szCs w:val="26"/>
        </w:rPr>
      </w:pPr>
      <w:r w:rsidDel="00000000" w:rsidR="00000000" w:rsidRPr="00000000">
        <w:rPr>
          <w:rFonts w:ascii="Arial Narrow" w:cs="Arial Narrow" w:eastAsia="Arial Narrow" w:hAnsi="Arial Narrow"/>
          <w:b w:val="1"/>
          <w:sz w:val="26"/>
          <w:szCs w:val="26"/>
          <w:rtl w:val="0"/>
        </w:rPr>
        <w:t xml:space="preserve">ИНСТРУМЕНТ ЗА РЕФОРМИ И РАЗВОЈ ЗА ЗАПАДЕН БАЛКАН</w:t>
      </w:r>
    </w:p>
    <w:p w:rsidR="00000000" w:rsidDel="00000000" w:rsidP="00000000" w:rsidRDefault="00000000" w:rsidRPr="00000000" w14:paraId="00000002">
      <w:pPr>
        <w:pStyle w:val="Title"/>
        <w:spacing w:after="200" w:lineRule="auto"/>
        <w:jc w:val="center"/>
        <w:rPr>
          <w:rFonts w:ascii="Arial Narrow" w:cs="Arial Narrow" w:eastAsia="Arial Narrow" w:hAnsi="Arial Narrow"/>
          <w:b w:val="1"/>
          <w:sz w:val="26"/>
          <w:szCs w:val="26"/>
        </w:rPr>
      </w:pPr>
      <w:r w:rsidDel="00000000" w:rsidR="00000000" w:rsidRPr="00000000">
        <w:rPr>
          <w:rFonts w:ascii="Arial Narrow" w:cs="Arial Narrow" w:eastAsia="Arial Narrow" w:hAnsi="Arial Narrow"/>
          <w:b w:val="1"/>
          <w:sz w:val="26"/>
          <w:szCs w:val="26"/>
          <w:rtl w:val="0"/>
        </w:rPr>
        <w:t xml:space="preserve">КЛУЧНИ ЕЛЕМЕНТИ НА РЕФОРМСКАТА АГЕНДА - МК</w:t>
      </w:r>
    </w:p>
    <w:p w:rsidR="00000000" w:rsidDel="00000000" w:rsidP="00000000" w:rsidRDefault="00000000" w:rsidRPr="00000000" w14:paraId="00000003">
      <w:pPr>
        <w:pStyle w:val="Title"/>
        <w:spacing w:after="200" w:lineRule="auto"/>
        <w:jc w:val="center"/>
        <w:rPr>
          <w:rFonts w:ascii="Arial Narrow" w:cs="Arial Narrow" w:eastAsia="Arial Narrow" w:hAnsi="Arial Narrow"/>
          <w:b w:val="1"/>
          <w:sz w:val="22"/>
          <w:szCs w:val="22"/>
          <w:highlight w:val="yellow"/>
        </w:rPr>
      </w:pP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200" w:line="240" w:lineRule="auto"/>
        <w:ind w:left="720" w:firstLine="0"/>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5">
      <w:pPr>
        <w:keepNext w:val="1"/>
        <w:keepLines w:val="1"/>
        <w:numPr>
          <w:ilvl w:val="0"/>
          <w:numId w:val="4"/>
        </w:numPr>
        <w:pBdr>
          <w:top w:space="0" w:sz="0" w:val="nil"/>
          <w:left w:space="0" w:sz="0" w:val="nil"/>
          <w:bottom w:space="0" w:sz="0" w:val="nil"/>
          <w:right w:space="0" w:sz="0" w:val="nil"/>
          <w:between w:space="0" w:sz="0" w:val="nil"/>
        </w:pBdr>
        <w:spacing w:after="200" w:line="240" w:lineRule="auto"/>
        <w:ind w:left="720" w:hanging="72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ОПШТ КОНТЕКСТ И ОБРАЗЛОЖЕНИЕ ЗА РЕФОРМСКАТА АГЕНДА</w:t>
      </w:r>
      <w:r w:rsidDel="00000000" w:rsidR="00000000" w:rsidRPr="00000000">
        <w:rPr>
          <w:rtl w:val="0"/>
        </w:rPr>
      </w:r>
    </w:p>
    <w:p w:rsidR="00000000" w:rsidDel="00000000" w:rsidP="00000000" w:rsidRDefault="00000000" w:rsidRPr="00000000" w14:paraId="00000006">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На 8 ноември 2023 година, Европската Комисија го предложи Инструментот за реформи и раст 2024-2027 (ИРР) кој треба да обезбеди клучна поддршка за спроведувањето на новиот План за раст за земјите од Западен Балкан и неговите четири столба. Инструментот служи како привремена алатка во форма на заеми и грантови што има за цел да се справи со недоволната социо-економска конвергенција меѓу ЗБ и ЕУ, влошена од економското влијание на пандемијата предизвикана од КОВИД-19 и руската воена агресија против Украина.</w:t>
      </w:r>
    </w:p>
    <w:p w:rsidR="00000000" w:rsidDel="00000000" w:rsidP="00000000" w:rsidRDefault="00000000" w:rsidRPr="00000000" w14:paraId="00000007">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Предвидено е ИРР да го поддржи спроведувањето на реформските агенди (РА) кои идентификуваат сеопфатен пакет на кохерентен и приоритетен сет на таргетирани реформи и области за инвестирање.</w:t>
      </w:r>
    </w:p>
    <w:p w:rsidR="00000000" w:rsidDel="00000000" w:rsidP="00000000" w:rsidRDefault="00000000" w:rsidRPr="00000000" w14:paraId="00000008">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Оваа РА го опишува стратешкиот пристап на Северна Македонија за забрзување на фундаменталните реформи за прогресивна интеграција со единствениот пазар на Унијата и социо-економската конвергенција, како и усогласувањето со законите, правилата, стандардите, политиките и практиките на Унијата според општите цели, како што е наведено во член 3 од Регулативата за ИРР.</w:t>
      </w:r>
    </w:p>
    <w:p w:rsidR="00000000" w:rsidDel="00000000" w:rsidP="00000000" w:rsidRDefault="00000000" w:rsidRPr="00000000" w14:paraId="00000009">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Иако Северна Македонија постигна значителен напредок во минатото, нејзиниот просечен БДП по глава на жител е 41,5% во 2021 година, и сè уште е под просекот на ниво на ЕУ, и овој јаз треба дополнително да се намали. За ова потребни се фокусирани и насочени напори за надминување на предизвиците што ја попречуваат економската и социјалната трансформација, особено имајќи ја предвид високата неизвесност на геополитичкиот контекст и климатските промени.</w:t>
      </w:r>
    </w:p>
    <w:p w:rsidR="00000000" w:rsidDel="00000000" w:rsidP="00000000" w:rsidRDefault="00000000" w:rsidRPr="00000000" w14:paraId="0000000A">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Според тоа, предвидените мерки во рамките на Реформската агенда 2024-2027 ќе </w:t>
      </w:r>
      <w:r w:rsidDel="00000000" w:rsidR="00000000" w:rsidRPr="00000000">
        <w:rPr>
          <w:rtl w:val="0"/>
        </w:rPr>
        <w:t xml:space="preserve">ѝ</w:t>
      </w:r>
      <w:r w:rsidDel="00000000" w:rsidR="00000000" w:rsidRPr="00000000">
        <w:rPr>
          <w:rFonts w:ascii="Arial Narrow" w:cs="Arial Narrow" w:eastAsia="Arial Narrow" w:hAnsi="Arial Narrow"/>
          <w:rtl w:val="0"/>
        </w:rPr>
        <w:t xml:space="preserve"> овозможат на земјата да напредува во областа на владеењето на правото, да ја зголеми ефикасноста на јавната администрација и судството, да ги подобри јавните услуги, да ја зголеми продуктивноста и да создаде нови работни места, како и напредок во дигитализацијата и зелената транзиција. Спроведувањето на мерките ќе придонесе за зајакнување на капацитетите на земјата да одговори на шокови, да ја одржи макроекономската стабилност и да постигне одржлив и инклузивен раст.</w:t>
      </w:r>
    </w:p>
    <w:p w:rsidR="00000000" w:rsidDel="00000000" w:rsidP="00000000" w:rsidRDefault="00000000" w:rsidRPr="00000000" w14:paraId="0000000B">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Вклучените реформи и инвестиции што треба да се спроведат се, исто така, во согласност со специфичните цели на Регулативата за ИРР, пропишани во член 3, и се однесуваат, меѓу другото на забрзана транзиција кон одржливи и инклузивни економии, напредок во воспоставувањето Заеднички регионален пазар, зајакнување на интеграцијата со единствениот пазар на Унијата, забрзување на зелената транзиција и промовирање на дигиталната трансформација, поттикнување на квалитетни политики за образование и вработување, дополнително зајакнување на владеењето на правото и зајакнување на ефективноста на јавната администрација и поддршка на транспарентноста, структурните реформи и доброто владеење на сите нивоа. Тие се засноваат на приоритетите на владината програма и релевантните национални стратегии кои се усвоени или финализирани, како што се Националната стратегија за развој, Стратегијата за паметна специјализација, Стратегијата за формализирање на неформалната економија, секторските стратегии за енергија, транспорт, земјоделство, вработување и образование, здравство, ИКТ итн. Тие, исто така, ги рефлектираат активностите кои Владата ги презема за да одговори на специфичните препораки за земјата од извештајот на ЕУ за напредокот на земјата од октомври 2023 година, како и заедничките заклучоци од ЕКФИН дијалогот од мај 2023 година базирани на Програмата за економски реформи 2023-2025 во рамките на поедноставениот процес на Европскиот семестар за земји кандидати.</w:t>
      </w:r>
    </w:p>
    <w:p w:rsidR="00000000" w:rsidDel="00000000" w:rsidP="00000000" w:rsidRDefault="00000000" w:rsidRPr="00000000" w14:paraId="0000000C">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Новиот ИРР ќе биде комплементарен и взаемно зајакнувачки со тековната финансиска помош во рамките на ИПА III.</w:t>
      </w:r>
    </w:p>
    <w:p w:rsidR="00000000" w:rsidDel="00000000" w:rsidP="00000000" w:rsidRDefault="00000000" w:rsidRPr="00000000" w14:paraId="0000000D">
      <w:pPr>
        <w:spacing w:after="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Следните пет области на политики се избрани во договор со ГД НЕАР:</w:t>
      </w:r>
    </w:p>
    <w:p w:rsidR="00000000" w:rsidDel="00000000" w:rsidP="00000000" w:rsidRDefault="00000000" w:rsidRPr="00000000" w14:paraId="0000000E">
      <w:pPr>
        <w:numPr>
          <w:ilvl w:val="0"/>
          <w:numId w:val="5"/>
        </w:numPr>
        <w:spacing w:after="0" w:line="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Управување/Реформа на јавна администрација и Управување со јавните финансии</w:t>
      </w:r>
    </w:p>
    <w:p w:rsidR="00000000" w:rsidDel="00000000" w:rsidP="00000000" w:rsidRDefault="00000000" w:rsidRPr="00000000" w14:paraId="0000000F">
      <w:pPr>
        <w:numPr>
          <w:ilvl w:val="0"/>
          <w:numId w:val="5"/>
        </w:numPr>
        <w:spacing w:after="0" w:line="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Дигитална и Енергетска/ Зелена транзиција</w:t>
      </w:r>
    </w:p>
    <w:p w:rsidR="00000000" w:rsidDel="00000000" w:rsidP="00000000" w:rsidRDefault="00000000" w:rsidRPr="00000000" w14:paraId="00000010">
      <w:pPr>
        <w:numPr>
          <w:ilvl w:val="0"/>
          <w:numId w:val="5"/>
        </w:numPr>
        <w:spacing w:after="0" w:line="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Човечки капитал</w:t>
      </w:r>
    </w:p>
    <w:p w:rsidR="00000000" w:rsidDel="00000000" w:rsidP="00000000" w:rsidRDefault="00000000" w:rsidRPr="00000000" w14:paraId="00000011">
      <w:pPr>
        <w:numPr>
          <w:ilvl w:val="0"/>
          <w:numId w:val="5"/>
        </w:numPr>
        <w:spacing w:after="0" w:line="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Деловно опкружување</w:t>
      </w:r>
    </w:p>
    <w:p w:rsidR="00000000" w:rsidDel="00000000" w:rsidP="00000000" w:rsidRDefault="00000000" w:rsidRPr="00000000" w14:paraId="00000012">
      <w:pPr>
        <w:numPr>
          <w:ilvl w:val="0"/>
          <w:numId w:val="5"/>
        </w:numPr>
        <w:spacing w:after="0" w:line="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Владеење на правото</w:t>
      </w:r>
    </w:p>
    <w:p w:rsidR="00000000" w:rsidDel="00000000" w:rsidP="00000000" w:rsidRDefault="00000000" w:rsidRPr="00000000" w14:paraId="00000013">
      <w:pPr>
        <w:spacing w:after="20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4">
      <w:pPr>
        <w:keepNext w:val="1"/>
        <w:keepLines w:val="1"/>
        <w:numPr>
          <w:ilvl w:val="0"/>
          <w:numId w:val="4"/>
        </w:numPr>
        <w:pBdr>
          <w:top w:space="0" w:sz="0" w:val="nil"/>
          <w:left w:space="0" w:sz="0" w:val="nil"/>
          <w:bottom w:space="0" w:sz="0" w:val="nil"/>
          <w:right w:space="0" w:sz="0" w:val="nil"/>
          <w:between w:space="0" w:sz="0" w:val="nil"/>
        </w:pBdr>
        <w:spacing w:after="200" w:line="240" w:lineRule="auto"/>
        <w:ind w:left="720" w:hanging="72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ОПИС НА ПОЛИТИКИ, КОМПОНЕНТИ И РЕФОРМИ</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pacing w:after="200" w:line="240" w:lineRule="auto"/>
        <w:ind w:left="72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УПРАВУВАЊЕ/РЕФОРМА НА ЈАВНАТА АДМИНИСТРАЦИЈА И УПРАВУВАЊЕ СО ЈАВНИТЕ ФИНАНСИИ</w:t>
      </w:r>
      <w:r w:rsidDel="00000000" w:rsidR="00000000" w:rsidRPr="00000000">
        <w:rPr>
          <w:rtl w:val="0"/>
        </w:rPr>
      </w:r>
    </w:p>
    <w:p w:rsidR="00000000" w:rsidDel="00000000" w:rsidP="00000000" w:rsidRDefault="00000000" w:rsidRPr="00000000" w14:paraId="00000016">
      <w:pPr>
        <w:numPr>
          <w:ilvl w:val="1"/>
          <w:numId w:val="3"/>
        </w:numPr>
        <w:pBdr>
          <w:top w:space="0" w:sz="0" w:val="nil"/>
          <w:left w:space="0" w:sz="0" w:val="nil"/>
          <w:bottom w:space="0" w:sz="0" w:val="nil"/>
          <w:right w:space="0" w:sz="0" w:val="nil"/>
          <w:between w:space="0" w:sz="0" w:val="nil"/>
        </w:pBdr>
        <w:spacing w:after="200" w:line="240" w:lineRule="auto"/>
        <w:ind w:left="108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Програма за реформи во управувањето со јавните финансии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Програмата за реформи во управувањето со јавните финансии </w:t>
      </w:r>
      <w:r w:rsidDel="00000000" w:rsidR="00000000" w:rsidRPr="00000000">
        <w:rPr>
          <w:rFonts w:ascii="Arial Narrow" w:cs="Arial Narrow" w:eastAsia="Arial Narrow" w:hAnsi="Arial Narrow"/>
          <w:rtl w:val="0"/>
        </w:rPr>
        <w:t xml:space="preserve">(2022-2025) го поддржува подобрувањето на управувањето со јавните финансии за да се осигури дека јавната администрација планира и управува со јавните финансии на одржлив и транспарентен начин и овозможува исполнување на зацртаните политики. Правилата за контрола, набавки и надзор се воспоставени со цел да се обезбеди економско, ефикасно и ефективно користење на јавните ресурси споделени на сите нивоа на управување.</w:t>
      </w:r>
    </w:p>
    <w:p w:rsidR="00000000" w:rsidDel="00000000" w:rsidP="00000000" w:rsidRDefault="00000000" w:rsidRPr="00000000" w14:paraId="00000018">
      <w:pPr>
        <w:spacing w:after="20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200" w:line="240" w:lineRule="auto"/>
        <w:ind w:left="720" w:firstLine="0"/>
        <w:jc w:val="both"/>
        <w:rPr>
          <w:rFonts w:ascii="Arial Narrow" w:cs="Arial Narrow" w:eastAsia="Arial Narrow" w:hAnsi="Arial Narrow"/>
        </w:rPr>
      </w:pPr>
      <w:r w:rsidDel="00000000" w:rsidR="00000000" w:rsidRPr="00000000">
        <w:rPr>
          <w:rFonts w:ascii="Arial Narrow" w:cs="Arial Narrow" w:eastAsia="Arial Narrow" w:hAnsi="Arial Narrow"/>
          <w:b w:val="1"/>
          <w:color w:val="000000"/>
          <w:rtl w:val="0"/>
        </w:rPr>
        <w:t xml:space="preserve">1.2 </w:t>
      </w:r>
      <w:r w:rsidDel="00000000" w:rsidR="00000000" w:rsidRPr="00000000">
        <w:rPr>
          <w:rFonts w:ascii="Arial Narrow" w:cs="Arial Narrow" w:eastAsia="Arial Narrow" w:hAnsi="Arial Narrow"/>
          <w:b w:val="1"/>
          <w:rtl w:val="0"/>
        </w:rPr>
        <w:t xml:space="preserve">Реформа на јавната администрација</w:t>
      </w:r>
      <w:r w:rsidDel="00000000" w:rsidR="00000000" w:rsidRPr="00000000">
        <w:rPr>
          <w:rtl w:val="0"/>
        </w:rPr>
      </w:r>
    </w:p>
    <w:p w:rsidR="00000000" w:rsidDel="00000000" w:rsidP="00000000" w:rsidRDefault="00000000" w:rsidRPr="00000000" w14:paraId="0000001A">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Стратегијата за реформа на јавната администрација 2023-2030 </w:t>
      </w:r>
      <w:r w:rsidDel="00000000" w:rsidR="00000000" w:rsidRPr="00000000">
        <w:rPr>
          <w:rFonts w:ascii="Arial Narrow" w:cs="Arial Narrow" w:eastAsia="Arial Narrow" w:hAnsi="Arial Narrow"/>
          <w:rtl w:val="0"/>
        </w:rPr>
        <w:t xml:space="preserve">ги утврдува стратешката рамка и реформските активности кон </w:t>
      </w:r>
      <w:r w:rsidDel="00000000" w:rsidR="00000000" w:rsidRPr="00000000">
        <w:rPr>
          <w:rFonts w:ascii="Arial Narrow" w:cs="Arial Narrow" w:eastAsia="Arial Narrow" w:hAnsi="Arial Narrow"/>
          <w:i w:val="1"/>
          <w:rtl w:val="0"/>
        </w:rPr>
        <w:t xml:space="preserve">деполитизирана, ефикасна, ефективна и одговорна јавна администрација која обезбедува висококвалитетни политики и лесно достапни услуги за граѓаните и деловните субјекти кои се засноваат на европските принципи и вредности и придонесува за одржлив економски раст, владеење на правото, социјална кохезија и благосостојба. </w:t>
      </w:r>
      <w:r w:rsidDel="00000000" w:rsidR="00000000" w:rsidRPr="00000000">
        <w:rPr>
          <w:rFonts w:ascii="Arial Narrow" w:cs="Arial Narrow" w:eastAsia="Arial Narrow" w:hAnsi="Arial Narrow"/>
          <w:rtl w:val="0"/>
        </w:rPr>
        <w:t xml:space="preserve">Стратегијата се фокусира на четири приоритетни области: (1) Развој на политики и координација; (2) Јавна служба и управување со човечки ресурси; (3) Одговорност, отчетност и транспарентност; и (4) Испорака на услуги и дигитална трансформација.</w:t>
      </w:r>
    </w:p>
    <w:p w:rsidR="00000000" w:rsidDel="00000000" w:rsidP="00000000" w:rsidRDefault="00000000" w:rsidRPr="00000000" w14:paraId="0000001B">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Новата законска рамка треба да го подобри управувањето со човечките ресурси во администрацијата и да помогне да се обезбедат вработувања, унапредувања и отпуштања врз основа на заслуги на сите нивоа, вклучително и за високото раководство.</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00" w:line="240" w:lineRule="auto"/>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pacing w:after="200" w:line="240" w:lineRule="auto"/>
        <w:ind w:left="72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ДИГИТАЛНА И ЕНЕРГЕТСКА/ЗЕЛЕНА ТРАНЗИЦИЈА</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00" w:line="240" w:lineRule="auto"/>
        <w:ind w:left="720"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2.1 Реформи на енергетскиот пазар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Главната цел на енергетската политика на Република Северна Македонија е да создаде најсоодветен развој на енергетскиот сектор, кој ќе обезбеди сигурно, безбедно и квалитетно снабдување со енергија и гориво на потрошувачите, забрзан економски развој и зголемена грижа и заштита на околината. Стратегијата за развој на енергетиката до 2040 година се заснова на пет тесно поврзани столбови и меѓусебно зајакнувачки димензии: безбедност, солидарност и доверба; целосно интегриран внатрешен пазар на енергија; енергетска ефикасност, климатска акција - декарбонизација на економијата и истражување, иновации и конкурентност.</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00" w:line="240" w:lineRule="auto"/>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1">
      <w:pPr>
        <w:numPr>
          <w:ilvl w:val="1"/>
          <w:numId w:val="3"/>
        </w:numPr>
        <w:pBdr>
          <w:top w:space="0" w:sz="0" w:val="nil"/>
          <w:left w:space="0" w:sz="0" w:val="nil"/>
          <w:bottom w:space="0" w:sz="0" w:val="nil"/>
          <w:right w:space="0" w:sz="0" w:val="nil"/>
          <w:between w:space="0" w:sz="0" w:val="nil"/>
        </w:pBdr>
        <w:spacing w:after="200" w:line="240" w:lineRule="auto"/>
        <w:ind w:left="108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Декарбонизација</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Националниот план за енергија и клима (НПЕК) беше усвоен во 2022 година како индикативен. Го опфаќа периодот од 2021 до 2030 година и ја пропишува патеката за постигнување на целите до 2030 година. Планот се заснова на Зеленото сценарио од Стратегијата за енергетика, надополнето со политиките и мерките од секторите индустрија, земјоделство, шумарство и други употреби на земјиште и отпад. Планот ги елаборира сите пет димензии на Енергетската Унија, односно декарбонизација (се однесува на два сегмента: емисии на стакленички гасови и обновливи извори на енергија), енергетска ефикасност, безбедност на снабдувањето со енергија, внатрешен пазар на енергија и истражување, иновации и конкурентност.</w:t>
      </w:r>
    </w:p>
    <w:p w:rsidR="00000000" w:rsidDel="00000000" w:rsidP="00000000" w:rsidRDefault="00000000" w:rsidRPr="00000000" w14:paraId="00000023">
      <w:pPr>
        <w:spacing w:after="200" w:line="240" w:lineRule="auto"/>
        <w:ind w:left="720" w:hanging="72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00" w:line="240" w:lineRule="auto"/>
        <w:ind w:left="720"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2.3 </w:t>
      </w:r>
      <w:r w:rsidDel="00000000" w:rsidR="00000000" w:rsidRPr="00000000">
        <w:rPr>
          <w:rFonts w:ascii="Arial Narrow" w:cs="Arial Narrow" w:eastAsia="Arial Narrow" w:hAnsi="Arial Narrow"/>
          <w:b w:val="1"/>
          <w:rtl w:val="0"/>
        </w:rPr>
        <w:t xml:space="preserve">Обновливи извори</w:t>
      </w:r>
      <w:r w:rsidDel="00000000" w:rsidR="00000000" w:rsidRPr="00000000">
        <w:rPr>
          <w:rtl w:val="0"/>
        </w:rPr>
      </w:r>
    </w:p>
    <w:p w:rsidR="00000000" w:rsidDel="00000000" w:rsidP="00000000" w:rsidRDefault="00000000" w:rsidRPr="00000000" w14:paraId="00000025">
      <w:pPr>
        <w:spacing w:after="200" w:line="240" w:lineRule="auto"/>
        <w:jc w:val="both"/>
        <w:rPr>
          <w:rFonts w:ascii="Arial Narrow" w:cs="Arial Narrow" w:eastAsia="Arial Narrow" w:hAnsi="Arial Narrow"/>
        </w:rPr>
      </w:pPr>
      <w:bookmarkStart w:colFirst="0" w:colLast="0" w:name="_gjdgxs" w:id="0"/>
      <w:bookmarkEnd w:id="0"/>
      <w:r w:rsidDel="00000000" w:rsidR="00000000" w:rsidRPr="00000000">
        <w:rPr>
          <w:rFonts w:ascii="Arial Narrow" w:cs="Arial Narrow" w:eastAsia="Arial Narrow" w:hAnsi="Arial Narrow"/>
          <w:rtl w:val="0"/>
        </w:rPr>
        <w:t xml:space="preserve">Во областа на обновливите извори на енергија, земјата ќе продолжи со тековните механизми за поддршка за производство на електрична енергија од ОИЕ преку повластени тарифи и повластени премии со аукции (доделени во тендерска постапка). Земјата ќе промовира понатамошно искористување на ОИЕ во електроенергетскиот сектор (без стимулации), но и во другите сектори преку воведување на концептот „потрошувач производител“. Ова ќе ги зголеми напорите на земјата за постигнување на амбициозната цел од 38% учество на ОИЕ во бруто потрошувачката на финална енергија до 2030 година во согласност со стратешките документи.</w:t>
      </w:r>
    </w:p>
    <w:p w:rsidR="00000000" w:rsidDel="00000000" w:rsidP="00000000" w:rsidRDefault="00000000" w:rsidRPr="00000000" w14:paraId="00000026">
      <w:pPr>
        <w:spacing w:after="200" w:line="240" w:lineRule="auto"/>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00" w:line="240" w:lineRule="auto"/>
        <w:ind w:left="720"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2.4 </w:t>
      </w:r>
      <w:r w:rsidDel="00000000" w:rsidR="00000000" w:rsidRPr="00000000">
        <w:rPr>
          <w:rFonts w:ascii="Arial Narrow" w:cs="Arial Narrow" w:eastAsia="Arial Narrow" w:hAnsi="Arial Narrow"/>
          <w:b w:val="1"/>
          <w:rtl w:val="0"/>
        </w:rPr>
        <w:t xml:space="preserve">Усвојување на систем за тргување со емисии (</w:t>
      </w:r>
      <w:r w:rsidDel="00000000" w:rsidR="00000000" w:rsidRPr="00000000">
        <w:rPr>
          <w:rFonts w:ascii="Arial Narrow" w:cs="Arial Narrow" w:eastAsia="Arial Narrow" w:hAnsi="Arial Narrow"/>
          <w:b w:val="1"/>
          <w:color w:val="000000"/>
          <w:rtl w:val="0"/>
        </w:rPr>
        <w:t xml:space="preserve">ETS</w:t>
      </w:r>
      <w:r w:rsidDel="00000000" w:rsidR="00000000" w:rsidRPr="00000000">
        <w:rPr>
          <w:rFonts w:ascii="Arial Narrow" w:cs="Arial Narrow" w:eastAsia="Arial Narrow" w:hAnsi="Arial Narrow"/>
          <w:b w:val="1"/>
          <w:rtl w:val="0"/>
        </w:rPr>
        <w:t xml:space="preserv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Воведување цена на јаглеродот со цел справување со намалувањето на CO</w:t>
      </w:r>
      <w:r w:rsidDel="00000000" w:rsidR="00000000" w:rsidRPr="00000000">
        <w:rPr>
          <w:rFonts w:ascii="Arial Narrow" w:cs="Arial Narrow" w:eastAsia="Arial Narrow" w:hAnsi="Arial Narrow"/>
          <w:vertAlign w:val="subscript"/>
          <w:rtl w:val="0"/>
        </w:rPr>
        <w:t xml:space="preserve">2</w:t>
      </w:r>
      <w:r w:rsidDel="00000000" w:rsidR="00000000" w:rsidRPr="00000000">
        <w:rPr>
          <w:rFonts w:ascii="Arial Narrow" w:cs="Arial Narrow" w:eastAsia="Arial Narrow" w:hAnsi="Arial Narrow"/>
          <w:rtl w:val="0"/>
        </w:rPr>
        <w:t xml:space="preserve"> во производството на електрична енергија и топлина.</w:t>
      </w:r>
    </w:p>
    <w:p w:rsidR="00000000" w:rsidDel="00000000" w:rsidP="00000000" w:rsidRDefault="00000000" w:rsidRPr="00000000" w14:paraId="00000029">
      <w:pPr>
        <w:spacing w:after="200" w:line="240" w:lineRule="auto"/>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00" w:line="240" w:lineRule="auto"/>
        <w:ind w:left="720" w:firstLine="0"/>
        <w:jc w:val="both"/>
        <w:rPr>
          <w:rFonts w:ascii="Arial Narrow" w:cs="Arial Narrow" w:eastAsia="Arial Narrow" w:hAnsi="Arial Narrow"/>
          <w:b w:val="1"/>
        </w:rPr>
      </w:pPr>
      <w:r w:rsidDel="00000000" w:rsidR="00000000" w:rsidRPr="00000000">
        <w:rPr>
          <w:rFonts w:ascii="Arial Narrow" w:cs="Arial Narrow" w:eastAsia="Arial Narrow" w:hAnsi="Arial Narrow"/>
          <w:b w:val="1"/>
          <w:color w:val="000000"/>
          <w:rtl w:val="0"/>
        </w:rPr>
        <w:t xml:space="preserve">2.5 </w:t>
      </w:r>
      <w:r w:rsidDel="00000000" w:rsidR="00000000" w:rsidRPr="00000000">
        <w:rPr>
          <w:rFonts w:ascii="Arial Narrow" w:cs="Arial Narrow" w:eastAsia="Arial Narrow" w:hAnsi="Arial Narrow"/>
          <w:b w:val="1"/>
          <w:rtl w:val="0"/>
        </w:rPr>
        <w:t xml:space="preserve">Енергетска ефикасност и загадување на воздухот</w:t>
      </w:r>
    </w:p>
    <w:p w:rsidR="00000000" w:rsidDel="00000000" w:rsidP="00000000" w:rsidRDefault="00000000" w:rsidRPr="00000000" w14:paraId="0000002B">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Националниот план за енергија и клима содржи 25 политики и мерки за енергетска ефикасност, вклучително и доградба на постоечки згради (станбени, владини, општински и комерцијални), изградба на нови згради и пасивни куќи, обновување на јавниот возен парк, зелени јавни набавки, еколошка ознака на апарати, замена на улично осветлување со инканденсцентни светилки со ЛЕД осветлување, зголемено користење на централно греење, воведување шеми на обврски за ЕЕ како и сертификати за ЕЕ за згради. Со мерките за енергетска ефикасност треба да се постигне заштеда на потрошувачката на финална енергија од 20,8% и заштеда на потрошувачката на примарна енергија од 34,5% и зголемено финансирање за истражување и иновации, промоција на чисти технологии и чисти можности за греење.</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00" w:line="240" w:lineRule="auto"/>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00" w:line="240" w:lineRule="auto"/>
        <w:ind w:left="720"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2.6 </w:t>
      </w:r>
      <w:r w:rsidDel="00000000" w:rsidR="00000000" w:rsidRPr="00000000">
        <w:rPr>
          <w:rFonts w:ascii="Arial Narrow" w:cs="Arial Narrow" w:eastAsia="Arial Narrow" w:hAnsi="Arial Narrow"/>
          <w:b w:val="1"/>
          <w:rtl w:val="0"/>
        </w:rPr>
        <w:t xml:space="preserve">Дигитализација (вклучувајќи дигитални вештини</w:t>
      </w:r>
      <w:r w:rsidDel="00000000" w:rsidR="00000000" w:rsidRPr="00000000">
        <w:rPr>
          <w:rFonts w:ascii="Arial Narrow" w:cs="Arial Narrow" w:eastAsia="Arial Narrow" w:hAnsi="Arial Narrow"/>
          <w:b w:val="1"/>
          <w:color w:val="000000"/>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Испорака на услуги и дигитална трансформација </w:t>
      </w:r>
      <w:r w:rsidDel="00000000" w:rsidR="00000000" w:rsidRPr="00000000">
        <w:rPr>
          <w:rFonts w:ascii="Arial Narrow" w:cs="Arial Narrow" w:eastAsia="Arial Narrow" w:hAnsi="Arial Narrow"/>
          <w:rtl w:val="0"/>
        </w:rPr>
        <w:t xml:space="preserve">како еден од приоритетите во Стратегијата за реформа на јавната администрација 2023-2030 има за цел градење дигитално опкружување ставајќи ги корисниците во центарот и за сите луѓе и бизниси обезбедува висококвалитетни и лесно достапни услуги онлајн и офлајн. Зајакнувањето на рамката на националната политика, вклучувајќи ги дигиталните вештини, развојот на дигиталната инфраструктура заедно со мерките за кибербезбедност и зголемувањето на пристапот до широкопојасен интернет, ќе ја забрза дигиталната трансформација на општеството.</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00"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after="200" w:line="240" w:lineRule="auto"/>
        <w:ind w:left="72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ЧОВЕЧКИ КАПИТАЛ</w:t>
      </w:r>
      <w:r w:rsidDel="00000000" w:rsidR="00000000" w:rsidRPr="00000000">
        <w:rPr>
          <w:rtl w:val="0"/>
        </w:rPr>
      </w:r>
    </w:p>
    <w:p w:rsidR="00000000" w:rsidDel="00000000" w:rsidP="00000000" w:rsidRDefault="00000000" w:rsidRPr="00000000" w14:paraId="00000031">
      <w:pPr>
        <w:numPr>
          <w:ilvl w:val="1"/>
          <w:numId w:val="3"/>
        </w:numPr>
        <w:pBdr>
          <w:top w:space="0" w:sz="0" w:val="nil"/>
          <w:left w:space="0" w:sz="0" w:val="nil"/>
          <w:bottom w:space="0" w:sz="0" w:val="nil"/>
          <w:right w:space="0" w:sz="0" w:val="nil"/>
          <w:between w:space="0" w:sz="0" w:val="nil"/>
        </w:pBdr>
        <w:spacing w:after="200" w:line="240" w:lineRule="auto"/>
        <w:ind w:left="108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Образование и вештини</w:t>
      </w:r>
      <w:r w:rsidDel="00000000" w:rsidR="00000000" w:rsidRPr="00000000">
        <w:rPr>
          <w:rtl w:val="0"/>
        </w:rPr>
      </w:r>
    </w:p>
    <w:p w:rsidR="00000000" w:rsidDel="00000000" w:rsidP="00000000" w:rsidRDefault="00000000" w:rsidRPr="00000000" w14:paraId="00000032">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Во јануари 2018 година, Владата ги усвои Стратегијата за образование 2018-2025 и Акцискиот план. Спроведувањето на Стратегијата и Акцискиот план се мониторира, и за тоа се подготвуваат извештаи. Извештаите се јавни. По 2025 година, потребно е да се започне нова постапка за подготовка на нова стратегија во широк консултативен мултисекторски процес, со утврдени образовни приоритети со цел усогласување со Националната стратегија за развој, која е во фаза на подготовка. Со цел да се поттикне културата на иновации на локално и централно ниво, Програмата за економски реформи (ПЕР) го насочува вниманието кон средното образование и формирањето на Регионални центри за стручно образование и обука. Стратегијата за образование 2018–2025 го промовира формирањето на овие центри како средство за обезбедување поатрактивно, поуспешно и поефикасно стручно образование и обука.</w:t>
      </w:r>
    </w:p>
    <w:p w:rsidR="00000000" w:rsidDel="00000000" w:rsidP="00000000" w:rsidRDefault="00000000" w:rsidRPr="00000000" w14:paraId="00000033">
      <w:pPr>
        <w:spacing w:after="20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spacing w:after="200" w:line="240" w:lineRule="auto"/>
        <w:ind w:left="72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ДЕЛОВНО ОПКРУЖУВАЊЕ</w:t>
      </w:r>
      <w:r w:rsidDel="00000000" w:rsidR="00000000" w:rsidRPr="00000000">
        <w:rPr>
          <w:rtl w:val="0"/>
        </w:rPr>
      </w:r>
    </w:p>
    <w:p w:rsidR="00000000" w:rsidDel="00000000" w:rsidP="00000000" w:rsidRDefault="00000000" w:rsidRPr="00000000" w14:paraId="00000035">
      <w:pPr>
        <w:numPr>
          <w:ilvl w:val="1"/>
          <w:numId w:val="3"/>
        </w:numPr>
        <w:pBdr>
          <w:top w:space="0" w:sz="0" w:val="nil"/>
          <w:left w:space="0" w:sz="0" w:val="nil"/>
          <w:bottom w:space="0" w:sz="0" w:val="nil"/>
          <w:right w:space="0" w:sz="0" w:val="nil"/>
          <w:between w:space="0" w:sz="0" w:val="nil"/>
        </w:pBdr>
        <w:spacing w:after="200" w:line="240" w:lineRule="auto"/>
        <w:ind w:left="108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Деловно опкружување </w:t>
      </w:r>
      <w:r w:rsidDel="00000000" w:rsidR="00000000" w:rsidRPr="00000000">
        <w:rPr>
          <w:rtl w:val="0"/>
        </w:rPr>
      </w:r>
    </w:p>
    <w:p w:rsidR="00000000" w:rsidDel="00000000" w:rsidP="00000000" w:rsidRDefault="00000000" w:rsidRPr="00000000" w14:paraId="00000036">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Стратешката рамка поврзана со поттикнување пријателска средина за развој на бизнис и развој на приватниот сектор преку зајакнување на конкурентноста се состои од неколку постоечки стратегии (Индустриска стратегија 2018-2027, Стратегија за МСП 2018-2023, План за економски раст, План за забрзување на растот 2022-2026 итн.) и неколку стратегии во процес на усвојување кои ја креираат рамката за зајакнување на иновациите и паметната специјализација (Стратегија за паметна специјализација), интернационализација и интеграција во ГВС (Стратегија за промоција на извозот), понатамошен развој на претприемништвото и МСП (нова стратегија за МСП).</w:t>
      </w:r>
    </w:p>
    <w:p w:rsidR="00000000" w:rsidDel="00000000" w:rsidP="00000000" w:rsidRDefault="00000000" w:rsidRPr="00000000" w14:paraId="00000037">
      <w:pPr>
        <w:spacing w:after="20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200" w:line="240" w:lineRule="auto"/>
        <w:ind w:left="720"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ВЛАДЕЕЊЕ НА ПРАВОТО </w:t>
      </w:r>
      <w:r w:rsidDel="00000000" w:rsidR="00000000" w:rsidRPr="00000000">
        <w:rPr>
          <w:rtl w:val="0"/>
        </w:rPr>
      </w:r>
    </w:p>
    <w:p w:rsidR="00000000" w:rsidDel="00000000" w:rsidP="00000000" w:rsidRDefault="00000000" w:rsidRPr="00000000" w14:paraId="00000039">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Стратешката рамка за реформи во правосудниот сектор беше воспоставена во 2017 година со усвојувањето на Стратегијата за реформи во правосудниот сектор (2017 – 2022) и нејзиниот Акциски план. Подготвена е нова сеопфатна Стратегија за развој на судските реформи за периодот 2024-2028 година, која наскоро треба да биде усвоена од Владата. Нацрт-верзијата беше консултирана со Европската комисија и со ИПА проектот за владеење на правото.</w:t>
      </w:r>
    </w:p>
    <w:p w:rsidR="00000000" w:rsidDel="00000000" w:rsidP="00000000" w:rsidRDefault="00000000" w:rsidRPr="00000000" w14:paraId="0000003A">
      <w:pPr>
        <w:spacing w:after="200"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Развојната секторска Стратегија за правосудниот систем 2023-2027 (во натамошниот текст Стратегијата) е стратешки документ со кој се утврдуваат, планираат и спроведуваат мерките за понатамошен развој на судството. Предвидува и постапување во области кои се значајни за извршување на функциите на правосудниот систем воопшто и ефикасно остварување на правата и обврските на граѓаните и правните лица пред правосудните органи. Таа се фокусира на пет клучни области: судството и јавното обвинителство, капацитетите на одредени институции на правосудниот систем, индивидуалните правни професии и јавни служби, Уставниот суд и специфичните правни области (кривични и граѓански) кои се релевантни за функционирањето на судството. Таа исто така придонесува и во реализацијата на препораките на Европската комисија за натамошен развој на владеењето на правото, судскиот систем и фундаменталните права и вредности. При изработката на оваа Стратегија беа земени предвид и други секторски стратешки документи со цел да се обезбеди синергија и усогласеност помеѓу различните документи, особено </w:t>
      </w:r>
      <w:r w:rsidDel="00000000" w:rsidR="00000000" w:rsidRPr="00000000">
        <w:rPr>
          <w:rFonts w:ascii="Arial Narrow" w:cs="Arial Narrow" w:eastAsia="Arial Narrow" w:hAnsi="Arial Narrow"/>
          <w:u w:val="single"/>
          <w:rtl w:val="0"/>
        </w:rPr>
        <w:t xml:space="preserve">Националната стратегија за спречување корупција и судир на интереси 2021 – 2025, Стратегијата за ИКТ во правосудството 2019 – 2024, Стратегијата за човечки ресурси во судската мрежа и Стратегијата за човечки ресурси во Јавното обвинителство</w:t>
      </w:r>
      <w:r w:rsidDel="00000000" w:rsidR="00000000" w:rsidRPr="00000000">
        <w:rPr>
          <w:rFonts w:ascii="Arial Narrow" w:cs="Arial Narrow" w:eastAsia="Arial Narrow" w:hAnsi="Arial Narrow"/>
          <w:rtl w:val="0"/>
        </w:rPr>
        <w:t xml:space="preserve">. Во помала мера, Стратегијата е во согласност и со </w:t>
      </w:r>
      <w:r w:rsidDel="00000000" w:rsidR="00000000" w:rsidRPr="00000000">
        <w:rPr>
          <w:rFonts w:ascii="Arial Narrow" w:cs="Arial Narrow" w:eastAsia="Arial Narrow" w:hAnsi="Arial Narrow"/>
          <w:u w:val="single"/>
          <w:rtl w:val="0"/>
        </w:rPr>
        <w:t xml:space="preserve">Националната стратегија за развој на казнено-поправниот систем во Република Северна Македонија 2021 – 2025</w:t>
      </w:r>
      <w:r w:rsidDel="00000000" w:rsidR="00000000" w:rsidRPr="00000000">
        <w:rPr>
          <w:rFonts w:ascii="Arial Narrow" w:cs="Arial Narrow" w:eastAsia="Arial Narrow" w:hAnsi="Arial Narrow"/>
          <w:rtl w:val="0"/>
        </w:rPr>
        <w:t xml:space="preserve">. Стратегијата има за цел да ги адресира прашањата покренати од страна на Европската комисија во Скрининг-извештајот за Кластер 1 во однос на судството. Како таква, таа е усогласена со Патоказот за владеење на правото.</w:t>
      </w:r>
    </w:p>
    <w:p w:rsidR="00000000" w:rsidDel="00000000" w:rsidP="00000000" w:rsidRDefault="00000000" w:rsidRPr="00000000" w14:paraId="0000003B">
      <w:pPr>
        <w:rPr/>
      </w:pPr>
      <w:r w:rsidDel="00000000" w:rsidR="00000000" w:rsidRPr="00000000">
        <w:br w:type="page"/>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1"/>
        <w:tblW w:w="9997.0" w:type="dxa"/>
        <w:jc w:val="left"/>
        <w:tblInd w:w="-3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3"/>
        <w:gridCol w:w="1701"/>
        <w:gridCol w:w="6663"/>
        <w:tblGridChange w:id="0">
          <w:tblGrid>
            <w:gridCol w:w="1633"/>
            <w:gridCol w:w="1701"/>
            <w:gridCol w:w="6663"/>
          </w:tblGrid>
        </w:tblGridChange>
      </w:tblGrid>
      <w:tr>
        <w:trPr>
          <w:cantSplit w:val="0"/>
          <w:trHeight w:val="375" w:hRule="atLeast"/>
          <w:tblHeader w:val="0"/>
        </w:trPr>
        <w:tc>
          <w:tcPr>
            <w:gridSpan w:val="3"/>
            <w:shd w:fill="ddd9c4" w:val="clear"/>
            <w:vAlign w:val="center"/>
          </w:tcPr>
          <w:p w:rsidR="00000000" w:rsidDel="00000000" w:rsidP="00000000" w:rsidRDefault="00000000" w:rsidRPr="00000000" w14:paraId="0000003D">
            <w:pPr>
              <w:spacing w:after="0" w:line="240" w:lineRule="auto"/>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СЕВЕРНА МАКЕДОНИЈА</w:t>
            </w:r>
          </w:p>
          <w:p w:rsidR="00000000" w:rsidDel="00000000" w:rsidP="00000000" w:rsidRDefault="00000000" w:rsidRPr="00000000" w14:paraId="0000003E">
            <w:pPr>
              <w:spacing w:after="0" w:line="240" w:lineRule="auto"/>
              <w:rPr>
                <w:rFonts w:ascii="Arial Narrow" w:cs="Arial Narrow" w:eastAsia="Arial Narrow" w:hAnsi="Arial Narrow"/>
                <w:b w:val="1"/>
              </w:rPr>
            </w:pPr>
            <w:r w:rsidDel="00000000" w:rsidR="00000000" w:rsidRPr="00000000">
              <w:rPr>
                <w:rtl w:val="0"/>
              </w:rPr>
            </w:r>
          </w:p>
        </w:tc>
      </w:tr>
      <w:tr>
        <w:trPr>
          <w:cantSplit w:val="0"/>
          <w:trHeight w:val="375" w:hRule="atLeast"/>
          <w:tblHeader w:val="0"/>
        </w:trPr>
        <w:tc>
          <w:tcPr>
            <w:shd w:fill="95b3d7" w:val="clear"/>
            <w:vAlign w:val="center"/>
          </w:tcPr>
          <w:p w:rsidR="00000000" w:rsidDel="00000000" w:rsidP="00000000" w:rsidRDefault="00000000" w:rsidRPr="00000000" w14:paraId="00000041">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Области на политики</w:t>
            </w:r>
            <w:r w:rsidDel="00000000" w:rsidR="00000000" w:rsidRPr="00000000">
              <w:rPr>
                <w:rtl w:val="0"/>
              </w:rPr>
            </w:r>
          </w:p>
        </w:tc>
        <w:tc>
          <w:tcPr>
            <w:shd w:fill="95b3d7" w:val="clear"/>
            <w:vAlign w:val="center"/>
          </w:tcPr>
          <w:p w:rsidR="00000000" w:rsidDel="00000000" w:rsidP="00000000" w:rsidRDefault="00000000" w:rsidRPr="00000000" w14:paraId="00000042">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Компонента</w:t>
            </w:r>
            <w:r w:rsidDel="00000000" w:rsidR="00000000" w:rsidRPr="00000000">
              <w:rPr>
                <w:rFonts w:ascii="Arial Narrow" w:cs="Arial Narrow" w:eastAsia="Arial Narrow" w:hAnsi="Arial Narrow"/>
                <w:rtl w:val="0"/>
              </w:rPr>
              <w:br w:type="textWrapping"/>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b w:val="1"/>
                <w:color w:val="000000"/>
                <w:rtl w:val="0"/>
              </w:rPr>
              <w:t xml:space="preserve">(</w:t>
            </w:r>
            <w:r w:rsidDel="00000000" w:rsidR="00000000" w:rsidRPr="00000000">
              <w:rPr>
                <w:rFonts w:ascii="Arial Narrow" w:cs="Arial Narrow" w:eastAsia="Arial Narrow" w:hAnsi="Arial Narrow"/>
                <w:b w:val="1"/>
                <w:rtl w:val="0"/>
              </w:rPr>
              <w:t xml:space="preserve">сектор</w:t>
            </w:r>
            <w:r w:rsidDel="00000000" w:rsidR="00000000" w:rsidRPr="00000000">
              <w:rPr>
                <w:rFonts w:ascii="Arial Narrow" w:cs="Arial Narrow" w:eastAsia="Arial Narrow" w:hAnsi="Arial Narrow"/>
                <w:b w:val="1"/>
                <w:color w:val="000000"/>
                <w:rtl w:val="0"/>
              </w:rPr>
              <w:t xml:space="preserve">)</w:t>
            </w:r>
            <w:r w:rsidDel="00000000" w:rsidR="00000000" w:rsidRPr="00000000">
              <w:rPr>
                <w:rFonts w:ascii="Arial Narrow" w:cs="Arial Narrow" w:eastAsia="Arial Narrow" w:hAnsi="Arial Narrow"/>
                <w:color w:val="000000"/>
                <w:rtl w:val="0"/>
              </w:rPr>
              <w:t xml:space="preserve"> </w:t>
            </w:r>
            <w:r w:rsidDel="00000000" w:rsidR="00000000" w:rsidRPr="00000000">
              <w:rPr>
                <w:rtl w:val="0"/>
              </w:rPr>
            </w:r>
          </w:p>
        </w:tc>
        <w:tc>
          <w:tcPr>
            <w:shd w:fill="95b3d7" w:val="clea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lineRule="auto"/>
              <w:rPr>
                <w:rFonts w:ascii="Arial Narrow" w:cs="Arial Narrow" w:eastAsia="Arial Narrow" w:hAnsi="Arial Narrow"/>
                <w:color w:val="000000"/>
              </w:rPr>
            </w:pPr>
            <w:r w:rsidDel="00000000" w:rsidR="00000000" w:rsidRPr="00000000">
              <w:rPr>
                <w:rFonts w:ascii="Arial Narrow" w:cs="Arial Narrow" w:eastAsia="Arial Narrow" w:hAnsi="Arial Narrow"/>
                <w:b w:val="1"/>
                <w:rtl w:val="0"/>
              </w:rPr>
              <w:t xml:space="preserve">Индикативни реформи</w:t>
            </w:r>
            <w:r w:rsidDel="00000000" w:rsidR="00000000" w:rsidRPr="00000000">
              <w:rPr>
                <w:rtl w:val="0"/>
              </w:rPr>
            </w:r>
          </w:p>
        </w:tc>
      </w:tr>
      <w:tr>
        <w:trPr>
          <w:cantSplit w:val="0"/>
          <w:trHeight w:val="375" w:hRule="atLeast"/>
          <w:tblHeader w:val="0"/>
        </w:trPr>
        <w:tc>
          <w:tcPr>
            <w:vMerge w:val="restart"/>
            <w:shd w:fill="auto" w:val="clear"/>
            <w:vAlign w:val="center"/>
          </w:tcPr>
          <w:p w:rsidR="00000000" w:rsidDel="00000000" w:rsidP="00000000" w:rsidRDefault="00000000" w:rsidRPr="00000000" w14:paraId="00000044">
            <w:pPr>
              <w:numPr>
                <w:ilvl w:val="0"/>
                <w:numId w:val="6"/>
              </w:numPr>
              <w:pBdr>
                <w:top w:space="0" w:sz="0" w:val="nil"/>
                <w:left w:space="0" w:sz="0" w:val="nil"/>
                <w:bottom w:space="0" w:sz="0" w:val="nil"/>
                <w:right w:space="0" w:sz="0" w:val="nil"/>
                <w:between w:space="0" w:sz="0" w:val="nil"/>
              </w:pBdr>
              <w:spacing w:after="0" w:line="240" w:lineRule="auto"/>
              <w:ind w:left="248" w:hanging="284"/>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Управување/Реформа на јавна администрација и Управување со јавните финансии</w:t>
            </w:r>
            <w:r w:rsidDel="00000000" w:rsidR="00000000" w:rsidRPr="00000000">
              <w:rPr>
                <w:rtl w:val="0"/>
              </w:rPr>
            </w:r>
          </w:p>
        </w:tc>
        <w:tc>
          <w:tcPr>
            <w:vAlign w:val="center"/>
          </w:tcPr>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after="120" w:line="240" w:lineRule="auto"/>
              <w:ind w:left="360" w:hanging="360"/>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УЈФ</w:t>
            </w:r>
            <w:r w:rsidDel="00000000" w:rsidR="00000000" w:rsidRPr="00000000">
              <w:rPr>
                <w:rtl w:val="0"/>
              </w:rPr>
            </w:r>
          </w:p>
        </w:tc>
        <w:tc>
          <w:tcPr>
            <w:shd w:fill="auto" w:val="clear"/>
            <w:vAlign w:val="center"/>
          </w:tcPr>
          <w:p w:rsidR="00000000" w:rsidDel="00000000" w:rsidP="00000000" w:rsidRDefault="00000000" w:rsidRPr="00000000" w14:paraId="00000046">
            <w:pPr>
              <w:numPr>
                <w:ilvl w:val="2"/>
                <w:numId w:val="2"/>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Создавање Единствена листа на проекти со соодветна институционална поставеност и стандардна методологија за претходна проценка, оценка и приоритизација на проектите за јавни инвестиции за зајакнување на управувањето со јавните инвестиции. Ова ќе овозможи потранспарентно и поефикасно спроведување на стратешките капитални јавни инвестициски проекти.</w:t>
            </w:r>
          </w:p>
          <w:p w:rsidR="00000000" w:rsidDel="00000000" w:rsidP="00000000" w:rsidRDefault="00000000" w:rsidRPr="00000000" w14:paraId="00000047">
            <w:pPr>
              <w:numPr>
                <w:ilvl w:val="2"/>
                <w:numId w:val="2"/>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Преглед на институционалната поставеност, опсегот и капацитетот на јавните внатрешни финансиски контроли со цел да се обезбеди ефикасност на извршувањето на буџетот</w:t>
            </w:r>
          </w:p>
          <w:p w:rsidR="00000000" w:rsidDel="00000000" w:rsidP="00000000" w:rsidRDefault="00000000" w:rsidRPr="00000000" w14:paraId="00000048">
            <w:pPr>
              <w:numPr>
                <w:ilvl w:val="2"/>
                <w:numId w:val="2"/>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Спроведување на Интегриран информациски систем за управување со финансиите (ИФМИС), Интегриран даночен информациски систем (ИТИС) и Информациски систем за управување со државна помош (САМИС)</w:t>
            </w:r>
          </w:p>
          <w:p w:rsidR="00000000" w:rsidDel="00000000" w:rsidP="00000000" w:rsidRDefault="00000000" w:rsidRPr="00000000" w14:paraId="00000049">
            <w:pPr>
              <w:numPr>
                <w:ilvl w:val="2"/>
                <w:numId w:val="2"/>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Засилување на употребата на „економски најповолна понуда“ со цел да се обезбеди транспарентност и конкурентност на системот за јавни набавки</w:t>
            </w:r>
          </w:p>
          <w:p w:rsidR="00000000" w:rsidDel="00000000" w:rsidP="00000000" w:rsidRDefault="00000000" w:rsidRPr="00000000" w14:paraId="0000004A">
            <w:pPr>
              <w:numPr>
                <w:ilvl w:val="2"/>
                <w:numId w:val="2"/>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Целосна имплементација на Законот за буџет од 2022 година, вклучувајќи ги предвидените реформски мерки со цел да се обезбеди фискална одржливост, сеопфатност на буџетската документација, следење на фискалните ризици, поврзаноста на политиката и буџетот и среднорочната перспектива во подготовката на буџетот.</w:t>
            </w:r>
          </w:p>
          <w:p w:rsidR="00000000" w:rsidDel="00000000" w:rsidP="00000000" w:rsidRDefault="00000000" w:rsidRPr="00000000" w14:paraId="0000004B">
            <w:pPr>
              <w:numPr>
                <w:ilvl w:val="2"/>
                <w:numId w:val="2"/>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Спроведување на среднорочна евалуација на тековната програма за УЈФ (2022-2025) и нејзино продолжување до 2027 година</w:t>
            </w:r>
          </w:p>
        </w:tc>
      </w:tr>
      <w:tr>
        <w:trPr>
          <w:cantSplit w:val="0"/>
          <w:trHeight w:val="273" w:hRule="atLeast"/>
          <w:tblHeader w:val="0"/>
        </w:trPr>
        <w:tc>
          <w:tcPr>
            <w:vMerge w:val="continue"/>
            <w:shd w:fill="auto" w:val="clear"/>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after="120" w:line="240" w:lineRule="auto"/>
              <w:ind w:left="360" w:hanging="360"/>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РЈА</w:t>
            </w:r>
            <w:r w:rsidDel="00000000" w:rsidR="00000000" w:rsidRPr="00000000">
              <w:rPr>
                <w:rtl w:val="0"/>
              </w:rPr>
            </w:r>
          </w:p>
        </w:tc>
        <w:tc>
          <w:tcPr>
            <w:shd w:fill="auto" w:val="clear"/>
            <w:vAlign w:val="center"/>
          </w:tcPr>
          <w:p w:rsidR="00000000" w:rsidDel="00000000" w:rsidP="00000000" w:rsidRDefault="00000000" w:rsidRPr="00000000" w14:paraId="0000004E">
            <w:pPr>
              <w:numPr>
                <w:ilvl w:val="2"/>
                <w:numId w:val="2"/>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Реформа на организациската и оперативната поставеност на органите на државната управа за да се рационализира институционалната рамка, да се елиминираат преклопувачките надлежности, да се подобри ефикасноста на администрацијата и линиите на одговорност. Да се заврши реорганизацијата на сите министерски системи и да се намали бројот на органите на државната управа.</w:t>
            </w:r>
          </w:p>
          <w:p w:rsidR="00000000" w:rsidDel="00000000" w:rsidP="00000000" w:rsidRDefault="00000000" w:rsidRPr="00000000" w14:paraId="0000004F">
            <w:pPr>
              <w:numPr>
                <w:ilvl w:val="2"/>
                <w:numId w:val="2"/>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Инвестиции: Техничка помош за правни совети и организациска поддршка/ оптимизација на деловните процеси</w:t>
            </w:r>
          </w:p>
          <w:p w:rsidR="00000000" w:rsidDel="00000000" w:rsidP="00000000" w:rsidRDefault="00000000" w:rsidRPr="00000000" w14:paraId="00000050">
            <w:pPr>
              <w:numPr>
                <w:ilvl w:val="2"/>
                <w:numId w:val="2"/>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Развој на сеопфатна политика за задржување на кадарот за да се направи јавната администрација поатрактивен работодавач кој ќе биде способен да задржи талент и професионално искуство. Осигурување дека вработувањата, унапредувањата и отпуштањата се засноваат на заслуги. Воведување на флексибилни аранжмани за работното време, регулирање и воведување на далечинско работење. Воведување хоризонтално унапредување.</w:t>
            </w:r>
          </w:p>
          <w:p w:rsidR="00000000" w:rsidDel="00000000" w:rsidP="00000000" w:rsidRDefault="00000000" w:rsidRPr="00000000" w14:paraId="00000051">
            <w:pPr>
              <w:numPr>
                <w:ilvl w:val="2"/>
                <w:numId w:val="2"/>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Воспоставување единствен систем за пресметка на платите за вработените во јавниот сектор. Да се донесе нов закон за плати во јавниот сектор со кој ќе се регулира утврдувањето на платите во сите делови на јавниот сектор. Да се прошират класификацијата на работните места и скалата на плати со нови степени што ќе овозможат правилно поставување на платите за различни категории на персонал.</w:t>
            </w:r>
          </w:p>
          <w:p w:rsidR="00000000" w:rsidDel="00000000" w:rsidP="00000000" w:rsidRDefault="00000000" w:rsidRPr="00000000" w14:paraId="00000052">
            <w:pPr>
              <w:numPr>
                <w:ilvl w:val="2"/>
                <w:numId w:val="2"/>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Усогласување на класификацијата на работните места. Да се постави нов систем на класификација каде степенот и платата одговараат на нивото на одговорност, што би помогнало и да се привлечат и да се задржат стручни профили кои недостигаат во јавната администрација.</w:t>
            </w:r>
          </w:p>
          <w:p w:rsidR="00000000" w:rsidDel="00000000" w:rsidP="00000000" w:rsidRDefault="00000000" w:rsidRPr="00000000" w14:paraId="00000053">
            <w:pPr>
              <w:numPr>
                <w:ilvl w:val="2"/>
                <w:numId w:val="2"/>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Нов деловник за работа на Владата, меѓу другото, за регулирање на законодавната процедура за транспонирање на правото на ЕУ, за подобрување на процедурите за ПВР и за подобрување на транспарентноста на Владата</w:t>
            </w:r>
          </w:p>
        </w:tc>
      </w:tr>
      <w:tr>
        <w:trPr>
          <w:cantSplit w:val="0"/>
          <w:trHeight w:val="405" w:hRule="atLeast"/>
          <w:tblHeader w:val="0"/>
        </w:trPr>
        <w:tc>
          <w:tcPr>
            <w:vMerge w:val="restart"/>
            <w:shd w:fill="auto" w:val="clear"/>
            <w:vAlign w:val="center"/>
          </w:tcPr>
          <w:p w:rsidR="00000000" w:rsidDel="00000000" w:rsidP="00000000" w:rsidRDefault="00000000" w:rsidRPr="00000000" w14:paraId="00000054">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Дигитална и енергетска/зелена транзиција</w:t>
            </w:r>
          </w:p>
        </w:tc>
        <w:tc>
          <w:tcP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line="240" w:lineRule="auto"/>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2.1 Пазарни реформи</w:t>
            </w:r>
            <w:r w:rsidDel="00000000" w:rsidR="00000000" w:rsidRPr="00000000">
              <w:rPr>
                <w:rtl w:val="0"/>
              </w:rPr>
            </w:r>
          </w:p>
        </w:tc>
        <w:tc>
          <w:tcPr>
            <w:shd w:fill="auto" w:val="clea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line="240" w:lineRule="auto"/>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2.1.1 Усогласување на пакетот за интеграција на електрична енергија: воспоставување на пазар на електрична енергија за тековниот ден, операционализација на пакетот во согласност со планот за интеграција на операторите за спојување на пазарот до 2026 година.</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line="240" w:lineRule="auto"/>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2.1.2 Постепено прилагодување на тарифите на нивоата на поврат на трошоците придружено со мерки за справување со енергетската сиромаштија</w:t>
            </w:r>
            <w:r w:rsidDel="00000000" w:rsidR="00000000" w:rsidRPr="00000000">
              <w:rPr>
                <w:rtl w:val="0"/>
              </w:rPr>
            </w:r>
          </w:p>
        </w:tc>
      </w:tr>
      <w:tr>
        <w:trPr>
          <w:cantSplit w:val="0"/>
          <w:trHeight w:val="405" w:hRule="atLeast"/>
          <w:tblHeader w:val="0"/>
        </w:trPr>
        <w:tc>
          <w:tcPr>
            <w:vMerge w:val="continue"/>
            <w:shd w:fill="auto"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rPr>
            </w:pPr>
            <w:r w:rsidDel="00000000" w:rsidR="00000000" w:rsidRPr="00000000">
              <w:rPr>
                <w:rtl w:val="0"/>
              </w:rPr>
            </w:r>
          </w:p>
        </w:tc>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line="240" w:lineRule="auto"/>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2.2 Декарбонизација</w:t>
            </w:r>
            <w:r w:rsidDel="00000000" w:rsidR="00000000" w:rsidRPr="00000000">
              <w:rPr>
                <w:rtl w:val="0"/>
              </w:rPr>
            </w:r>
          </w:p>
        </w:tc>
        <w:tc>
          <w:tcPr>
            <w:shd w:fill="auto" w:val="clear"/>
            <w:vAlign w:val="center"/>
          </w:tcPr>
          <w:p w:rsidR="00000000" w:rsidDel="00000000" w:rsidP="00000000" w:rsidRDefault="00000000" w:rsidRPr="00000000" w14:paraId="0000005A">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2.2.1 Усвојување на Националниот план за енергија и клима до јуни 2024 година</w:t>
            </w:r>
          </w:p>
          <w:p w:rsidR="00000000" w:rsidDel="00000000" w:rsidP="00000000" w:rsidRDefault="00000000" w:rsidRPr="00000000" w14:paraId="0000005B">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2.2.2 Покажување напредок во спроведувањето на целите за енергија и клима во согласност со траекторијата на Планот преку извештајот на Планот (март 2025 и 2027 година)</w:t>
            </w:r>
          </w:p>
          <w:p w:rsidR="00000000" w:rsidDel="00000000" w:rsidP="00000000" w:rsidRDefault="00000000" w:rsidRPr="00000000" w14:paraId="0000005C">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2.2.3 Имплементација на патоказот за праведна транзиција за Битола и Осломеј</w:t>
            </w:r>
          </w:p>
          <w:p w:rsidR="00000000" w:rsidDel="00000000" w:rsidP="00000000" w:rsidRDefault="00000000" w:rsidRPr="00000000" w14:paraId="0000005D">
            <w:pPr>
              <w:spacing w:after="120" w:line="240" w:lineRule="auto"/>
              <w:rPr/>
            </w:pPr>
            <w:r w:rsidDel="00000000" w:rsidR="00000000" w:rsidRPr="00000000">
              <w:rPr>
                <w:rFonts w:ascii="Arial Narrow" w:cs="Arial Narrow" w:eastAsia="Arial Narrow" w:hAnsi="Arial Narrow"/>
                <w:rtl w:val="0"/>
              </w:rPr>
              <w:t xml:space="preserve">2.2.4 Воведување интегрирано управување со шумските пожари за намалување на бројот на шумски пожари и оштетената површина и пошумување како дел од мерките за декарбонизација и мерките за ублажување на климата на секторот земјоделство, шумарство и други употреби на земјиште пропишани во националната Стратегија за развој на енергијата, двогодишните планови за климатски промени и Националната стратегија за земјоделство и рурален развој 2021-2027</w:t>
            </w:r>
            <w:r w:rsidDel="00000000" w:rsidR="00000000" w:rsidRPr="00000000">
              <w:rPr>
                <w:rtl w:val="0"/>
              </w:rPr>
            </w:r>
          </w:p>
        </w:tc>
      </w:tr>
      <w:tr>
        <w:trPr>
          <w:cantSplit w:val="0"/>
          <w:trHeight w:val="441" w:hRule="atLeast"/>
          <w:tblHeader w:val="0"/>
        </w:trPr>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line="240" w:lineRule="auto"/>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2.3 Обновливи извори</w:t>
            </w:r>
            <w:r w:rsidDel="00000000" w:rsidR="00000000" w:rsidRPr="00000000">
              <w:rPr>
                <w:rtl w:val="0"/>
              </w:rPr>
            </w:r>
          </w:p>
        </w:tc>
        <w:tc>
          <w:tcPr>
            <w:shd w:fill="auto" w:val="clear"/>
            <w:vAlign w:val="center"/>
          </w:tcPr>
          <w:p w:rsidR="00000000" w:rsidDel="00000000" w:rsidP="00000000" w:rsidRDefault="00000000" w:rsidRPr="00000000" w14:paraId="00000060">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2.3.1 Развивање на транспарентни и конкурентни процедури за распоредување на обновливи извори на енергија: објавување на плановите за аукција за следните 3 години за обновливи извори на енергија (ветерни паркови и соларни фотонапонски централи)</w:t>
            </w:r>
          </w:p>
          <w:p w:rsidR="00000000" w:rsidDel="00000000" w:rsidP="00000000" w:rsidRDefault="00000000" w:rsidRPr="00000000" w14:paraId="00000061">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2.3.2 Имплементација на Директивата за обновлива енергија (поедноставување на процедурите за издавање дозволи за обновливи извори)</w:t>
            </w:r>
          </w:p>
          <w:p w:rsidR="00000000" w:rsidDel="00000000" w:rsidP="00000000" w:rsidRDefault="00000000" w:rsidRPr="00000000" w14:paraId="00000062">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2.3.3 Инвестиција: Инсталирани најмалку X GW нови капацитети за обновлива енергија (сончева и ветерна) (според Планот) Инсталиран нов капацитет за обновлива енергија</w:t>
            </w:r>
          </w:p>
          <w:p w:rsidR="00000000" w:rsidDel="00000000" w:rsidP="00000000" w:rsidRDefault="00000000" w:rsidRPr="00000000" w14:paraId="00000063">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2.3.4 Инвестиција: Зголемување на капацитетите на преносната и дистрибутивната мрежа во области со високи обновливи извори на енергија</w:t>
            </w:r>
          </w:p>
        </w:tc>
      </w:tr>
      <w:tr>
        <w:trPr>
          <w:cantSplit w:val="0"/>
          <w:trHeight w:val="441" w:hRule="atLeast"/>
          <w:tblHeader w:val="0"/>
        </w:trPr>
        <w:tc>
          <w:tcPr>
            <w:vMerge w:val="continue"/>
            <w:shd w:fill="auto" w:val="cle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rFonts w:ascii="Arial Narrow" w:cs="Arial Narrow" w:eastAsia="Arial Narrow" w:hAnsi="Arial Narrow"/>
                <w:rtl w:val="0"/>
              </w:rPr>
              <w:t xml:space="preserve">2.4 Усвојувуање на систем за тргување со емисии</w:t>
            </w:r>
            <w:r w:rsidDel="00000000" w:rsidR="00000000" w:rsidRPr="00000000">
              <w:rPr>
                <w:rtl w:val="0"/>
              </w:rPr>
            </w:r>
          </w:p>
        </w:tc>
        <w:tc>
          <w:tcPr>
            <w:shd w:fill="auto" w:val="clear"/>
            <w:vAlign w:val="center"/>
          </w:tcPr>
          <w:p w:rsidR="00000000" w:rsidDel="00000000" w:rsidP="00000000" w:rsidRDefault="00000000" w:rsidRPr="00000000" w14:paraId="00000066">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2.4.1 Вложување напори во однос на цените на јаглеродот со цел да се воспостави систем на тргување со емисии до 2030 година: целосна имплементација на пакетот за мониторинг, известување и верификација, постепено воведување на цените на јаглеродот од 2026 година</w:t>
            </w:r>
          </w:p>
          <w:p w:rsidR="00000000" w:rsidDel="00000000" w:rsidP="00000000" w:rsidRDefault="00000000" w:rsidRPr="00000000" w14:paraId="00000067">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2.4.2 Воспоставување национален електронски регистар/домен за администрирање на гаранции за потекло и отворање можност за тргување со гаранции за потекло на организиран пазар на електрична енергија;</w:t>
            </w:r>
          </w:p>
        </w:tc>
      </w:tr>
      <w:tr>
        <w:trPr>
          <w:cantSplit w:val="0"/>
          <w:trHeight w:val="441" w:hRule="atLeast"/>
          <w:tblHeader w:val="0"/>
        </w:trPr>
        <w:tc>
          <w:tcPr>
            <w:vMerge w:val="continue"/>
            <w:shd w:fill="auto" w:val="cle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120" w:line="240" w:lineRule="auto"/>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2.5 Енергетска ефикасност и загадување на воздухот</w:t>
            </w:r>
            <w:r w:rsidDel="00000000" w:rsidR="00000000" w:rsidRPr="00000000">
              <w:rPr>
                <w:rtl w:val="0"/>
              </w:rPr>
            </w:r>
          </w:p>
        </w:tc>
        <w:tc>
          <w:tcPr>
            <w:shd w:fill="auto" w:val="clear"/>
            <w:vAlign w:val="center"/>
          </w:tcPr>
          <w:p w:rsidR="00000000" w:rsidDel="00000000" w:rsidP="00000000" w:rsidRDefault="00000000" w:rsidRPr="00000000" w14:paraId="0000006A">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2.5.1 Усвојување и спроведување на долгорочна стратегија за реновирање на згради</w:t>
            </w:r>
          </w:p>
          <w:p w:rsidR="00000000" w:rsidDel="00000000" w:rsidP="00000000" w:rsidRDefault="00000000" w:rsidRPr="00000000" w14:paraId="0000006B">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2.5.2 Операционализација на Фондот за енергетска ефикасност</w:t>
            </w:r>
          </w:p>
          <w:p w:rsidR="00000000" w:rsidDel="00000000" w:rsidP="00000000" w:rsidRDefault="00000000" w:rsidRPr="00000000" w14:paraId="0000006C">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2.5.3 Спроведување на законодавството за еко-дизајн и енергетско означување.</w:t>
            </w:r>
          </w:p>
          <w:p w:rsidR="00000000" w:rsidDel="00000000" w:rsidP="00000000" w:rsidRDefault="00000000" w:rsidRPr="00000000" w14:paraId="0000006D">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2.5.4 Спроведување на национални и локални планови за квалитетот на воздухот</w:t>
            </w:r>
          </w:p>
        </w:tc>
      </w:tr>
      <w:tr>
        <w:trPr>
          <w:cantSplit w:val="0"/>
          <w:trHeight w:val="441" w:hRule="atLeast"/>
          <w:tblHeader w:val="0"/>
        </w:trPr>
        <w:tc>
          <w:tcPr>
            <w:vAlign w:val="center"/>
          </w:tcPr>
          <w:p w:rsidR="00000000" w:rsidDel="00000000" w:rsidP="00000000" w:rsidRDefault="00000000" w:rsidRPr="00000000" w14:paraId="0000006E">
            <w:pPr>
              <w:spacing w:after="0" w:line="240" w:lineRule="auto"/>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line="240" w:lineRule="auto"/>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2.6 Дигитализација (вклучувајќи и вештини)</w:t>
            </w:r>
            <w:r w:rsidDel="00000000" w:rsidR="00000000" w:rsidRPr="00000000">
              <w:rPr>
                <w:rtl w:val="0"/>
              </w:rPr>
            </w:r>
          </w:p>
        </w:tc>
        <w:tc>
          <w:tcPr>
            <w:shd w:fill="auto" w:val="clear"/>
            <w:vAlign w:val="center"/>
          </w:tcPr>
          <w:p w:rsidR="00000000" w:rsidDel="00000000" w:rsidP="00000000" w:rsidRDefault="00000000" w:rsidRPr="00000000" w14:paraId="00000070">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2.6.1 Обезбедување ефективна, кохерентна и инклузивна дигитална трансформација на образованието преку интегрирање на Европската рамка за дигитални вештини во националните наставни програми за подобрување на дигиталните вештини во земјата.</w:t>
            </w:r>
          </w:p>
          <w:p w:rsidR="00000000" w:rsidDel="00000000" w:rsidP="00000000" w:rsidRDefault="00000000" w:rsidRPr="00000000" w14:paraId="00000071">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2.6.2 Воспоставување (75%) „паметни“ основни училишта со ИТ алатки и интернет инфраструктура, обезбедувајќи ја и нивната оперативност („паметни“ во смила на интегрирањето на дигиталните технологии во наставата и управувањето со училиштата, вклучително и комуникација со семејствата, интерактивно учење на далечина).</w:t>
            </w:r>
          </w:p>
          <w:p w:rsidR="00000000" w:rsidDel="00000000" w:rsidP="00000000" w:rsidRDefault="00000000" w:rsidRPr="00000000" w14:paraId="00000072">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2.6.3 Воспоставување безбедна и одржлива дигитална инфраструктура преку усогласување со правото на ЕУ (со усвојување и имплементација на Законот за електронски комуникации, Законот за безбедност на мрежи и информациски системи, новата ИКТ стратегија и формирање Национална агенција за дигитализација)</w:t>
            </w:r>
          </w:p>
          <w:p w:rsidR="00000000" w:rsidDel="00000000" w:rsidP="00000000" w:rsidRDefault="00000000" w:rsidRPr="00000000" w14:paraId="00000073">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2.6.4 Поставување на сеопфатна рамка за киберотпорност. Носење и имплементација на закон за кибербезбедност усогласен со NIS2 со усвојување на Стратегијата за кибербезбедност 2023-2027 и формирање на Национален координативен центар за кибербезбедност и национален тим за одговор на компјутерски инциденти.</w:t>
            </w:r>
          </w:p>
          <w:p w:rsidR="00000000" w:rsidDel="00000000" w:rsidP="00000000" w:rsidRDefault="00000000" w:rsidRPr="00000000" w14:paraId="00000074">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2.6.5 Инвестиција: Дигитализирани деловни процеси во управувањето со јавните финансии преку дизајнирање и воведување Интегриран информациски систем за управување со финансиите (ИФМИС), Интегриран даночен информациски систем (ИТИС) и Информациски систем за управување со државна помош</w:t>
            </w:r>
          </w:p>
          <w:p w:rsidR="00000000" w:rsidDel="00000000" w:rsidP="00000000" w:rsidRDefault="00000000" w:rsidRPr="00000000" w14:paraId="00000075">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2.6.6 Дигитализација на базите на податоци и размената на податоци за државните службеници во институциите и поедноставување на електронските процедури.</w:t>
            </w:r>
          </w:p>
          <w:p w:rsidR="00000000" w:rsidDel="00000000" w:rsidP="00000000" w:rsidRDefault="00000000" w:rsidRPr="00000000" w14:paraId="00000076">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2.6.7 Инвестиција: Развој на централизирана владина дигитална инфраструктура преку воспоставување владин центар за податоци и облак, како и центар за катастрофи и резервна копија на безбедна и отпорна локација</w:t>
            </w:r>
          </w:p>
          <w:p w:rsidR="00000000" w:rsidDel="00000000" w:rsidP="00000000" w:rsidRDefault="00000000" w:rsidRPr="00000000" w14:paraId="00000077">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2.6.8 Инвестиција: Имплементација на Националниот оперативен план за широкопојасен интернет: Изградба на национална транспортна оптичка мрежа за поврзување на градовите со „бели зони“ (области во земјата каде што нема фиксна ултрабрза интернет покриеност)</w:t>
            </w:r>
          </w:p>
          <w:p w:rsidR="00000000" w:rsidDel="00000000" w:rsidP="00000000" w:rsidRDefault="00000000" w:rsidRPr="00000000" w14:paraId="00000078">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2.6.9 Регионален портал на деловни регистри „BIFIDEX“</w:t>
            </w:r>
          </w:p>
        </w:tc>
      </w:tr>
      <w:tr>
        <w:trPr>
          <w:cantSplit w:val="0"/>
          <w:trHeight w:val="5068" w:hRule="atLeast"/>
          <w:tblHeader w:val="0"/>
        </w:trPr>
        <w:tc>
          <w:tcPr>
            <w:vAlign w:val="center"/>
          </w:tcPr>
          <w:p w:rsidR="00000000" w:rsidDel="00000000" w:rsidP="00000000" w:rsidRDefault="00000000" w:rsidRPr="00000000" w14:paraId="00000079">
            <w:pPr>
              <w:numPr>
                <w:ilvl w:val="0"/>
                <w:numId w:val="6"/>
              </w:numPr>
              <w:pBdr>
                <w:top w:space="0" w:sz="0" w:val="nil"/>
                <w:left w:space="0" w:sz="0" w:val="nil"/>
                <w:bottom w:space="0" w:sz="0" w:val="nil"/>
                <w:right w:space="0" w:sz="0" w:val="nil"/>
                <w:between w:space="0" w:sz="0" w:val="nil"/>
              </w:pBdr>
              <w:spacing w:after="0" w:line="240" w:lineRule="auto"/>
              <w:ind w:left="248" w:hanging="284"/>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Човечки капитал</w:t>
            </w:r>
            <w:r w:rsidDel="00000000" w:rsidR="00000000" w:rsidRPr="00000000">
              <w:rPr>
                <w:rtl w:val="0"/>
              </w:rPr>
            </w:r>
          </w:p>
          <w:p w:rsidR="00000000" w:rsidDel="00000000" w:rsidP="00000000" w:rsidRDefault="00000000" w:rsidRPr="00000000" w14:paraId="0000007A">
            <w:pPr>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B">
            <w:pPr>
              <w:spacing w:after="0" w:line="2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C">
            <w:pPr>
              <w:spacing w:after="0" w:line="240" w:lineRule="auto"/>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7D">
            <w:pPr>
              <w:numPr>
                <w:ilvl w:val="1"/>
                <w:numId w:val="1"/>
              </w:numPr>
              <w:pBdr>
                <w:top w:space="0" w:sz="0" w:val="nil"/>
                <w:left w:space="0" w:sz="0" w:val="nil"/>
                <w:bottom w:space="0" w:sz="0" w:val="nil"/>
                <w:right w:space="0" w:sz="0" w:val="nil"/>
                <w:between w:space="0" w:sz="0" w:val="nil"/>
              </w:pBdr>
              <w:spacing w:after="0" w:line="240" w:lineRule="auto"/>
              <w:ind w:left="360" w:hanging="360"/>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Образование и вештини</w:t>
            </w:r>
            <w:r w:rsidDel="00000000" w:rsidR="00000000" w:rsidRPr="00000000">
              <w:rPr>
                <w:rtl w:val="0"/>
              </w:rPr>
            </w:r>
          </w:p>
        </w:tc>
        <w:tc>
          <w:tcPr>
            <w:shd w:fill="auto" w:val="clear"/>
            <w:vAlign w:val="center"/>
          </w:tcPr>
          <w:p w:rsidR="00000000" w:rsidDel="00000000" w:rsidP="00000000" w:rsidRDefault="00000000" w:rsidRPr="00000000" w14:paraId="0000007E">
            <w:pPr>
              <w:numPr>
                <w:ilvl w:val="2"/>
                <w:numId w:val="1"/>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Зајакнување на образовниот систем за справување со неусогласеноста на вештините со усвојување и имплементирање на новите закони за средно образование и стручно образование и обука, како и целосно ставање во функција на два дополнителни регионални центри за стручно образование и обука, како дополнување на 3-те формирани со проектот „ЕУ за млади“, зголемувајќи го пристапот до СОО, како и неговиот квалитет, подобрувајќи го пристапот до учење засновано на работа и дуално образование (вклучувајќи вклученост на приватниот сектор).</w:t>
            </w:r>
          </w:p>
          <w:p w:rsidR="00000000" w:rsidDel="00000000" w:rsidP="00000000" w:rsidRDefault="00000000" w:rsidRPr="00000000" w14:paraId="0000007F">
            <w:pPr>
              <w:numPr>
                <w:ilvl w:val="2"/>
                <w:numId w:val="1"/>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Зголемување на учеството во образованието на возрасни и подобрување на препознавањето на неформалното и информалното учење преку усвојување и спроведување на законот за образование на возрасни.</w:t>
            </w:r>
          </w:p>
          <w:p w:rsidR="00000000" w:rsidDel="00000000" w:rsidP="00000000" w:rsidRDefault="00000000" w:rsidRPr="00000000" w14:paraId="00000080">
            <w:pPr>
              <w:numPr>
                <w:ilvl w:val="2"/>
                <w:numId w:val="1"/>
              </w:numPr>
              <w:spacing w:after="120" w:line="240" w:lineRule="auto"/>
              <w:ind w:left="720" w:hanging="720"/>
              <w:rPr>
                <w:rFonts w:ascii="Arial Narrow" w:cs="Arial Narrow" w:eastAsia="Arial Narrow" w:hAnsi="Arial Narrow"/>
              </w:rPr>
            </w:pPr>
            <w:r w:rsidDel="00000000" w:rsidR="00000000" w:rsidRPr="00000000">
              <w:rPr>
                <w:rFonts w:ascii="Arial Narrow" w:cs="Arial Narrow" w:eastAsia="Arial Narrow" w:hAnsi="Arial Narrow"/>
                <w:rtl w:val="0"/>
              </w:rPr>
              <w:t xml:space="preserve">Развивање и имплементација на нова формула со која се обезбедува соодветно финансирање на високото образование.</w:t>
            </w:r>
          </w:p>
        </w:tc>
      </w:tr>
      <w:tr>
        <w:trPr>
          <w:cantSplit w:val="0"/>
          <w:trHeight w:val="5068" w:hRule="atLeast"/>
          <w:tblHeader w:val="0"/>
        </w:trPr>
        <w:tc>
          <w:tcPr>
            <w:vAlign w:val="center"/>
          </w:tcPr>
          <w:p w:rsidR="00000000" w:rsidDel="00000000" w:rsidP="00000000" w:rsidRDefault="00000000" w:rsidRPr="00000000" w14:paraId="00000081">
            <w:pPr>
              <w:numPr>
                <w:ilvl w:val="0"/>
                <w:numId w:val="6"/>
              </w:numPr>
              <w:pBdr>
                <w:top w:space="0" w:sz="0" w:val="nil"/>
                <w:left w:space="0" w:sz="0" w:val="nil"/>
                <w:bottom w:space="0" w:sz="0" w:val="nil"/>
                <w:right w:space="0" w:sz="0" w:val="nil"/>
                <w:between w:space="0" w:sz="0" w:val="nil"/>
              </w:pBdr>
              <w:spacing w:after="0" w:line="240" w:lineRule="auto"/>
              <w:ind w:left="248" w:hanging="284"/>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Деловно опкружување</w:t>
            </w:r>
            <w:r w:rsidDel="00000000" w:rsidR="00000000" w:rsidRPr="00000000">
              <w:rPr>
                <w:rtl w:val="0"/>
              </w:rPr>
            </w:r>
          </w:p>
          <w:p w:rsidR="00000000" w:rsidDel="00000000" w:rsidP="00000000" w:rsidRDefault="00000000" w:rsidRPr="00000000" w14:paraId="00000082">
            <w:pPr>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83">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4.1 Деловно опкружување  </w:t>
            </w:r>
          </w:p>
          <w:p w:rsidR="00000000" w:rsidDel="00000000" w:rsidP="00000000" w:rsidRDefault="00000000" w:rsidRPr="00000000" w14:paraId="00000084">
            <w:pPr>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8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4.1.1. Адресирање на предизвиците кои произлегуваат од неформалната економија со имплементација на неодамна усвоената Стратегија за формализирање на неформалната економија</w:t>
            </w:r>
          </w:p>
          <w:p w:rsidR="00000000" w:rsidDel="00000000" w:rsidP="00000000" w:rsidRDefault="00000000" w:rsidRPr="00000000" w14:paraId="0000008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4.1.2 Воспоставување режим на државна помош кој е потранспарентен и поефикасен</w:t>
            </w:r>
          </w:p>
          <w:p w:rsidR="00000000" w:rsidDel="00000000" w:rsidP="00000000" w:rsidRDefault="00000000" w:rsidRPr="00000000" w14:paraId="0000008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4.1.3 Поттикнување на развојот на МСП преку усвојување и спроведување на новата стратегија за МСП</w:t>
            </w:r>
          </w:p>
          <w:p w:rsidR="00000000" w:rsidDel="00000000" w:rsidP="00000000" w:rsidRDefault="00000000" w:rsidRPr="00000000" w14:paraId="0000008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4.1.4 Воведување поефективни антикорупциски мерки низ циклусот на јавни набавки</w:t>
            </w:r>
          </w:p>
          <w:p w:rsidR="00000000" w:rsidDel="00000000" w:rsidP="00000000" w:rsidRDefault="00000000" w:rsidRPr="00000000" w14:paraId="0000008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4.1.5 Проширување на понудата на јавни е-услуги понудени преку владината е-платформа</w:t>
            </w:r>
          </w:p>
          <w:p w:rsidR="00000000" w:rsidDel="00000000" w:rsidP="00000000" w:rsidRDefault="00000000" w:rsidRPr="00000000" w14:paraId="0000008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4.1.6 Проширување на користењето на услугите на е-царина за економските оператори и намалување на трошоците и зголемување на ефикасноста на царинските постапки</w:t>
            </w:r>
          </w:p>
        </w:tc>
      </w:tr>
      <w:tr>
        <w:trPr>
          <w:cantSplit w:val="0"/>
          <w:trHeight w:val="1805" w:hRule="atLeast"/>
          <w:tblHeader w:val="0"/>
        </w:trPr>
        <w:tc>
          <w:tcPr>
            <w:vMerge w:val="restart"/>
            <w:vAlign w:val="center"/>
          </w:tcPr>
          <w:p w:rsidR="00000000" w:rsidDel="00000000" w:rsidP="00000000" w:rsidRDefault="00000000" w:rsidRPr="00000000" w14:paraId="0000008B">
            <w:pPr>
              <w:numPr>
                <w:ilvl w:val="0"/>
                <w:numId w:val="6"/>
              </w:numPr>
              <w:pBdr>
                <w:top w:space="0" w:sz="0" w:val="nil"/>
                <w:left w:space="0" w:sz="0" w:val="nil"/>
                <w:bottom w:space="0" w:sz="0" w:val="nil"/>
                <w:right w:space="0" w:sz="0" w:val="nil"/>
                <w:between w:space="0" w:sz="0" w:val="nil"/>
              </w:pBdr>
              <w:spacing w:after="0" w:line="240" w:lineRule="auto"/>
              <w:ind w:left="248" w:hanging="284"/>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Фундаментални вредности/Владеење на правото</w:t>
            </w:r>
            <w:r w:rsidDel="00000000" w:rsidR="00000000" w:rsidRPr="00000000">
              <w:rPr>
                <w:rtl w:val="0"/>
              </w:rPr>
            </w:r>
          </w:p>
        </w:tc>
        <w:tc>
          <w:tcPr>
            <w:vAlign w:val="center"/>
          </w:tcPr>
          <w:p w:rsidR="00000000" w:rsidDel="00000000" w:rsidP="00000000" w:rsidRDefault="00000000" w:rsidRPr="00000000" w14:paraId="0000008C">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5.1  Демократија</w:t>
            </w:r>
          </w:p>
        </w:tc>
        <w:tc>
          <w:tcPr>
            <w:vAlign w:val="center"/>
          </w:tcPr>
          <w:p w:rsidR="00000000" w:rsidDel="00000000" w:rsidP="00000000" w:rsidRDefault="00000000" w:rsidRPr="00000000" w14:paraId="0000008D">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5.1.1. Сеопфатно да се прегледа изборното законодавство за да се решат постоечките недоследности и дополнително да се адресираат препораките на ОБСЕ/ОДИХР и Венецијанската комисија.</w:t>
            </w:r>
          </w:p>
        </w:tc>
      </w:tr>
      <w:tr>
        <w:trPr>
          <w:cantSplit w:val="0"/>
          <w:trHeight w:val="488" w:hRule="atLeast"/>
          <w:tblHeader w:val="0"/>
        </w:trPr>
        <w:tc>
          <w:tcPr>
            <w:vMerge w:val="continue"/>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8F">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5.2. Независност, квалитет и интегритет на судството</w:t>
            </w:r>
          </w:p>
        </w:tc>
        <w:tc>
          <w:tcPr>
            <w:vAlign w:val="center"/>
          </w:tcPr>
          <w:p w:rsidR="00000000" w:rsidDel="00000000" w:rsidP="00000000" w:rsidRDefault="00000000" w:rsidRPr="00000000" w14:paraId="00000090">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5.2.1. Да се подобри законската рамка за регрутирање, избор, именување, оценување, унапредување, преместување и разрешување на судии и обвинители.</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5.2.2. </w:t>
            </w:r>
            <w:r w:rsidDel="00000000" w:rsidR="00000000" w:rsidRPr="00000000">
              <w:rPr>
                <w:rFonts w:ascii="Arial Narrow" w:cs="Arial Narrow" w:eastAsia="Arial Narrow" w:hAnsi="Arial Narrow"/>
                <w:rtl w:val="0"/>
              </w:rPr>
              <w:t xml:space="preserve">Усвојување и имплементација на нов Акциски план за спречување на корупцијата во судството за (2026-2029)</w:t>
            </w:r>
          </w:p>
        </w:tc>
      </w:tr>
      <w:tr>
        <w:trPr>
          <w:cantSplit w:val="0"/>
          <w:trHeight w:val="463" w:hRule="atLeast"/>
          <w:tblHeader w:val="0"/>
        </w:trPr>
        <w:tc>
          <w:tcPr>
            <w:vMerge w:val="continue"/>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93">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5.3.Консолидирање на функционирањето на Судскиот совет</w:t>
            </w:r>
          </w:p>
        </w:tc>
        <w:tc>
          <w:tcPr>
            <w:vAlign w:val="center"/>
          </w:tcPr>
          <w:p w:rsidR="00000000" w:rsidDel="00000000" w:rsidP="00000000" w:rsidRDefault="00000000" w:rsidRPr="00000000" w14:paraId="00000094">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5.3.1. Спроведување подобрена регулаторна рамка во однос на дисциплинските и жалбените постапки на судиите (во согласност со оценската мисијата на TAIEX од септември 2023 година).</w:t>
            </w:r>
          </w:p>
        </w:tc>
      </w:tr>
      <w:tr>
        <w:trPr>
          <w:cantSplit w:val="0"/>
          <w:trHeight w:val="154" w:hRule="atLeast"/>
          <w:tblHeader w:val="0"/>
        </w:trPr>
        <w:tc>
          <w:tcPr>
            <w:vMerge w:val="continue"/>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96">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5.4. Ефикасност на судството</w:t>
            </w:r>
          </w:p>
        </w:tc>
        <w:tc>
          <w:tcPr>
            <w:vAlign w:val="center"/>
          </w:tcPr>
          <w:p w:rsidR="00000000" w:rsidDel="00000000" w:rsidP="00000000" w:rsidRDefault="00000000" w:rsidRPr="00000000" w14:paraId="00000097">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5.4.1. Обезбедување целосно функционални автоматизирани информациски системи за управување со предмети во судовите и во Јавното обвинителство без рачна распределба на предметите.</w:t>
            </w:r>
          </w:p>
        </w:tc>
      </w:tr>
      <w:tr>
        <w:trPr>
          <w:cantSplit w:val="0"/>
          <w:trHeight w:val="158" w:hRule="atLeast"/>
          <w:tblHeader w:val="0"/>
        </w:trPr>
        <w:tc>
          <w:tcPr>
            <w:vMerge w:val="continue"/>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99">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5.5. Борба против корупцијата</w:t>
            </w:r>
          </w:p>
          <w:p w:rsidR="00000000" w:rsidDel="00000000" w:rsidP="00000000" w:rsidRDefault="00000000" w:rsidRPr="00000000" w14:paraId="0000009A">
            <w:pPr>
              <w:spacing w:after="0" w:line="240" w:lineRule="auto"/>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9B">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5.5.1 Дополнителни ресурси доделени на Канцеларијата на Основното јавно обвинителство за организиран криминал и корупција, особено специјализирани обвинители, финансиски експерти и дигитални форензички аналитичари.</w:t>
            </w:r>
          </w:p>
          <w:p w:rsidR="00000000" w:rsidDel="00000000" w:rsidP="00000000" w:rsidRDefault="00000000" w:rsidRPr="00000000" w14:paraId="0000009C">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5.5.2 Подобрување на евиденцијата на истраги, гонење, правосилни пресуди, заплени и конфискации во корупција, вклучително и случаи на високо ниво.</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5.5.3 </w:t>
            </w:r>
            <w:r w:rsidDel="00000000" w:rsidR="00000000" w:rsidRPr="00000000">
              <w:rPr>
                <w:rFonts w:ascii="Arial Narrow" w:cs="Arial Narrow" w:eastAsia="Arial Narrow" w:hAnsi="Arial Narrow"/>
                <w:rtl w:val="0"/>
              </w:rPr>
              <w:t xml:space="preserve">Зголемување на капацитетите на истражните центри во рамките на Јавното обвинителство, во согласност со препораките на оценската мисија од септември 2023 година.</w:t>
            </w:r>
          </w:p>
        </w:tc>
      </w:tr>
      <w:tr>
        <w:trPr>
          <w:cantSplit w:val="0"/>
          <w:trHeight w:val="218" w:hRule="atLeast"/>
          <w:tblHeader w:val="0"/>
        </w:trPr>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9F">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5.6. Борба против организираниот криминал</w:t>
            </w:r>
          </w:p>
        </w:tc>
        <w:tc>
          <w:tcPr>
            <w:vAlign w:val="center"/>
          </w:tcPr>
          <w:p w:rsidR="00000000" w:rsidDel="00000000" w:rsidP="00000000" w:rsidRDefault="00000000" w:rsidRPr="00000000" w14:paraId="000000A0">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5.6.1. Воведување пристап базиран на таргети во борбата против сериозниот и организираниот криминал, со конкретен акциски план и стратегија.</w:t>
            </w:r>
          </w:p>
          <w:p w:rsidR="00000000" w:rsidDel="00000000" w:rsidP="00000000" w:rsidRDefault="00000000" w:rsidRPr="00000000" w14:paraId="000000A1">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5.6.2. Подобрување на евиденцијата на истраги, обвиненија, правосилни пресуди, заплена и конечни конфискации во случаи на организиран криминал, вклучително и случаи на високо ниво</w:t>
            </w:r>
          </w:p>
        </w:tc>
      </w:tr>
      <w:tr>
        <w:trPr>
          <w:cantSplit w:val="0"/>
          <w:trHeight w:val="1041" w:hRule="atLeast"/>
          <w:tblHeader w:val="0"/>
        </w:trPr>
        <w:tc>
          <w:tcPr>
            <w:vMerge w:val="continue"/>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A3">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5.7. Поврат на имот</w:t>
            </w:r>
          </w:p>
        </w:tc>
        <w:tc>
          <w:tcPr>
            <w:vAlign w:val="center"/>
          </w:tcPr>
          <w:p w:rsidR="00000000" w:rsidDel="00000000" w:rsidP="00000000" w:rsidRDefault="00000000" w:rsidRPr="00000000" w14:paraId="000000A4">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5.7.1. Зајакнување на капацитетите во однос на конфискацијата и враќањето на имотот. Воспоставување на Канцеларија за поврат на имот задолжена за идентификација и следење на криминалните средства, во согласност со правото на ЕУ.</w:t>
            </w:r>
          </w:p>
        </w:tc>
      </w:tr>
      <w:tr>
        <w:trPr>
          <w:cantSplit w:val="0"/>
          <w:trHeight w:val="287" w:hRule="atLeast"/>
          <w:tblHeader w:val="0"/>
        </w:trPr>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vAlign w:val="center"/>
          </w:tcPr>
          <w:p w:rsidR="00000000" w:rsidDel="00000000" w:rsidP="00000000" w:rsidRDefault="00000000" w:rsidRPr="00000000" w14:paraId="000000A6">
            <w:pPr>
              <w:spacing w:after="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5.8. Киберкриминал</w:t>
            </w:r>
          </w:p>
        </w:tc>
        <w:tc>
          <w:tcPr>
            <w:vAlign w:val="center"/>
          </w:tcPr>
          <w:p w:rsidR="00000000" w:rsidDel="00000000" w:rsidP="00000000" w:rsidRDefault="00000000" w:rsidRPr="00000000" w14:paraId="000000A7">
            <w:pP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5.8.1. Усвојување на стратешка и законска рамка за киберкриминал</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120"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5.8.2. Зајакнување на капацитетите за спречување, откривање и кривично гонење на киберкриминал што доведува до зголемено откривање на киберкриминал</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120" w:line="240" w:lineRule="auto"/>
              <w:ind w:left="360" w:firstLine="0"/>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spacing w:after="0" w:line="240" w:lineRule="auto"/>
        <w:jc w:val="both"/>
        <w:rPr/>
      </w:pPr>
      <w:r w:rsidDel="00000000" w:rsidR="00000000" w:rsidRPr="00000000">
        <w:rPr>
          <w:rtl w:val="0"/>
        </w:rPr>
      </w:r>
    </w:p>
    <w:sectPr>
      <w:headerReference r:id="rId6" w:type="default"/>
      <w:footerReference r:id="rId7" w:type="default"/>
      <w:pgSz w:h="16838" w:w="11906" w:orient="portrait"/>
      <w:pgMar w:bottom="1417" w:top="1276"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jc w:val="right"/>
      <w:rPr>
        <w:rFonts w:ascii="Arial Narrow" w:cs="Arial Narrow" w:eastAsia="Arial Narrow" w:hAnsi="Arial Narrow"/>
      </w:rPr>
    </w:pPr>
    <w:r w:rsidDel="00000000" w:rsidR="00000000" w:rsidRPr="00000000">
      <w:rPr>
        <w:rFonts w:ascii="Arial Narrow" w:cs="Arial Narrow" w:eastAsia="Arial Narrow" w:hAnsi="Arial Narrow"/>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decimal"/>
      <w:lvlText w:val="%1."/>
      <w:lvlJc w:val="left"/>
      <w:pPr>
        <w:ind w:left="720" w:hanging="360"/>
      </w:pPr>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600" w:hanging="1080"/>
      </w:pPr>
      <w:rPr/>
    </w:lvl>
    <w:lvl w:ilvl="7">
      <w:start w:val="1"/>
      <w:numFmt w:val="decimal"/>
      <w:lvlText w:val="%1.%2.%3.%4.%5.%6.%7.%8"/>
      <w:lvlJc w:val="left"/>
      <w:pPr>
        <w:ind w:left="4320" w:hanging="1440"/>
      </w:pPr>
      <w:rPr/>
    </w:lvl>
    <w:lvl w:ilvl="8">
      <w:start w:val="1"/>
      <w:numFmt w:val="decimal"/>
      <w:lvlText w:val="%1.%2.%3.%4.%5.%6.%7.%8.%9"/>
      <w:lvlJc w:val="left"/>
      <w:pPr>
        <w:ind w:left="4680" w:hanging="1440"/>
      </w:pPr>
      <w:rPr/>
    </w:lvl>
  </w:abstractNum>
  <w:abstractNum w:abstractNumId="4">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mk-M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SetDate">
    <vt:lpwstr>2023-11-29T11:40:12Z</vt:lpwstr>
  </property>
  <property fmtid="{D5CDD505-2E9C-101B-9397-08002B2CF9AE}" pid="3" name="MSIP_Label_6bd9ddd1-4d20-43f6-abfa-fc3c07406f94_ContentBits">
    <vt:lpwstr>0</vt:lpwstr>
  </property>
  <property fmtid="{D5CDD505-2E9C-101B-9397-08002B2CF9AE}" pid="4" name="MSIP_Label_6bd9ddd1-4d20-43f6-abfa-fc3c07406f94_ActionId">
    <vt:lpwstr>4ca2d295-6b5a-4ee5-b23c-ad7d1ec250cf</vt:lpwstr>
  </property>
  <property fmtid="{D5CDD505-2E9C-101B-9397-08002B2CF9AE}" pid="5" name="MSIP_Label_6bd9ddd1-4d20-43f6-abfa-fc3c07406f94_SiteId">
    <vt:lpwstr>b24c8b06-522c-46fe-9080-70926f8dddb1</vt:lpwstr>
  </property>
  <property fmtid="{D5CDD505-2E9C-101B-9397-08002B2CF9AE}" pid="6" name="ContentTypeId">
    <vt:lpwstr>0x0101009536BABB5C232B419ADCB0E5A5E0BBF7</vt:lpwstr>
  </property>
  <property fmtid="{D5CDD505-2E9C-101B-9397-08002B2CF9AE}" pid="7" name="MSIP_Label_6bd9ddd1-4d20-43f6-abfa-fc3c07406f94_Method">
    <vt:lpwstr>Standard</vt:lpwstr>
  </property>
  <property fmtid="{D5CDD505-2E9C-101B-9397-08002B2CF9AE}" pid="8" name="MSIP_Label_6bd9ddd1-4d20-43f6-abfa-fc3c07406f94_Enabled">
    <vt:lpwstr>true</vt:lpwstr>
  </property>
  <property fmtid="{D5CDD505-2E9C-101B-9397-08002B2CF9AE}" pid="9" name="MSIP_Label_6bd9ddd1-4d20-43f6-abfa-fc3c07406f94_Name">
    <vt:lpwstr>Commission Use</vt:lpwstr>
  </property>
</Properties>
</file>