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CD7799" w14:textId="3085BDB0" w:rsidR="001B0370" w:rsidRPr="00141516" w:rsidRDefault="001B0370" w:rsidP="00D94EC3">
      <w:pPr>
        <w:spacing w:after="0" w:line="240" w:lineRule="auto"/>
        <w:jc w:val="center"/>
        <w:rPr>
          <w:rFonts w:ascii="StobiSerif Regular" w:eastAsia="StobiSerif Regular" w:hAnsi="StobiSerif Regular" w:cs="StobiSerif Regular"/>
          <w:b/>
        </w:rPr>
      </w:pPr>
      <w:r w:rsidRPr="00141516">
        <w:rPr>
          <w:rFonts w:ascii="StobiSerif Regular" w:eastAsia="StobiSerif Regular" w:hAnsi="StobiSerif Regular" w:cs="StobiSerif Regular"/>
          <w:b/>
          <w:noProof/>
        </w:rPr>
        <w:drawing>
          <wp:inline distT="0" distB="0" distL="0" distR="0" wp14:anchorId="310FADD0" wp14:editId="6B8C137E">
            <wp:extent cx="2082925" cy="475698"/>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Funded by the EU-PO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55939" cy="560887"/>
                    </a:xfrm>
                    <a:prstGeom prst="rect">
                      <a:avLst/>
                    </a:prstGeom>
                  </pic:spPr>
                </pic:pic>
              </a:graphicData>
            </a:graphic>
          </wp:inline>
        </w:drawing>
      </w:r>
      <w:r w:rsidRPr="00141516">
        <w:rPr>
          <w:rFonts w:ascii="StobiSerif Regular" w:eastAsia="StobiSerif Regular" w:hAnsi="StobiSerif Regular" w:cs="StobiSerif Regular"/>
          <w:b/>
          <w:noProof/>
        </w:rPr>
        <w:drawing>
          <wp:inline distT="0" distB="0" distL="0" distR="0" wp14:anchorId="326E5ACE" wp14:editId="63F90713">
            <wp:extent cx="2032511" cy="683398"/>
            <wp:effectExtent l="0" t="0" r="635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P logo (E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42705" cy="720449"/>
                    </a:xfrm>
                    <a:prstGeom prst="rect">
                      <a:avLst/>
                    </a:prstGeom>
                  </pic:spPr>
                </pic:pic>
              </a:graphicData>
            </a:graphic>
          </wp:inline>
        </w:drawing>
      </w:r>
      <w:r w:rsidR="005B23BD" w:rsidRPr="00141516">
        <w:rPr>
          <w:rFonts w:ascii="StobiSerif Regular" w:eastAsia="StobiSerif Regular" w:hAnsi="StobiSerif Regular" w:cs="StobiSerif Regular"/>
          <w:b/>
        </w:rPr>
        <w:t>______________________________________________________________________________</w:t>
      </w:r>
    </w:p>
    <w:p w14:paraId="581B7867" w14:textId="77777777" w:rsidR="005B23BD" w:rsidRPr="00141516" w:rsidRDefault="005B23BD">
      <w:pPr>
        <w:spacing w:after="0" w:line="240" w:lineRule="auto"/>
        <w:jc w:val="both"/>
        <w:rPr>
          <w:rFonts w:ascii="StobiSerif Regular" w:eastAsia="StobiSerif Regular" w:hAnsi="StobiSerif Regular" w:cs="StobiSerif Regular"/>
          <w:b/>
        </w:rPr>
      </w:pPr>
    </w:p>
    <w:p w14:paraId="00000003" w14:textId="77777777" w:rsidR="00C3271E" w:rsidRPr="00141516" w:rsidRDefault="00130B20">
      <w:pPr>
        <w:spacing w:after="0" w:line="240" w:lineRule="auto"/>
        <w:jc w:val="both"/>
        <w:rPr>
          <w:rFonts w:ascii="StobiSerif Regular" w:eastAsia="StobiSerif Regular" w:hAnsi="StobiSerif Regular" w:cs="StobiSerif Regular"/>
          <w:b/>
        </w:rPr>
      </w:pPr>
      <w:r w:rsidRPr="00141516">
        <w:rPr>
          <w:rFonts w:ascii="StobiSerif Regular" w:eastAsia="StobiSerif Regular" w:hAnsi="StobiSerif Regular" w:cs="StobiSerif Regular"/>
          <w:b/>
        </w:rPr>
        <w:t xml:space="preserve">Reference: </w:t>
      </w:r>
      <w:r w:rsidRPr="00141516">
        <w:rPr>
          <w:rFonts w:ascii="StobiSerif Regular" w:eastAsia="StobiSerif Regular" w:hAnsi="StobiSerif Regular" w:cs="StobiSerif Regular"/>
        </w:rPr>
        <w:t>Project "EU Support to Implementation of the EU Strategy for the Adriatic and Ionian Region (EUSAIR) in North Macedonia</w:t>
      </w:r>
    </w:p>
    <w:p w14:paraId="00000004" w14:textId="77777777" w:rsidR="00C3271E" w:rsidRPr="00141516" w:rsidRDefault="00130B20">
      <w:pPr>
        <w:spacing w:after="0" w:line="240" w:lineRule="auto"/>
        <w:jc w:val="both"/>
        <w:rPr>
          <w:rFonts w:ascii="StobiSerif Regular" w:eastAsia="StobiSerif Regular" w:hAnsi="StobiSerif Regular" w:cs="StobiSerif Regular"/>
          <w:b/>
        </w:rPr>
      </w:pPr>
      <w:r w:rsidRPr="00141516">
        <w:rPr>
          <w:rFonts w:ascii="StobiSerif Regular" w:eastAsia="StobiSerif Regular" w:hAnsi="StobiSerif Regular" w:cs="StobiSerif Regular"/>
          <w:b/>
        </w:rPr>
        <w:t xml:space="preserve">Contracting authority: </w:t>
      </w:r>
      <w:r w:rsidRPr="00141516">
        <w:rPr>
          <w:rFonts w:ascii="StobiSerif Regular" w:eastAsia="StobiSerif Regular" w:hAnsi="StobiSerif Regular" w:cs="StobiSerif Regular"/>
        </w:rPr>
        <w:t>Secretariat for European Affairs, Government of the Republic of North Macedonia</w:t>
      </w:r>
      <w:r w:rsidRPr="00141516">
        <w:rPr>
          <w:rFonts w:ascii="StobiSerif Regular" w:eastAsia="StobiSerif Regular" w:hAnsi="StobiSerif Regular" w:cs="StobiSerif Regular"/>
          <w:b/>
        </w:rPr>
        <w:t xml:space="preserve">   </w:t>
      </w:r>
    </w:p>
    <w:p w14:paraId="00000005" w14:textId="77777777" w:rsidR="00C3271E" w:rsidRPr="00141516" w:rsidRDefault="00130B20">
      <w:pPr>
        <w:spacing w:after="0" w:line="240" w:lineRule="auto"/>
        <w:jc w:val="both"/>
        <w:rPr>
          <w:rFonts w:ascii="StobiSerif Regular" w:eastAsia="StobiSerif Regular" w:hAnsi="StobiSerif Regular" w:cs="StobiSerif Regular"/>
          <w:b/>
        </w:rPr>
      </w:pPr>
      <w:r w:rsidRPr="00141516">
        <w:rPr>
          <w:rFonts w:ascii="StobiSerif Regular" w:eastAsia="StobiSerif Regular" w:hAnsi="StobiSerif Regular" w:cs="StobiSerif Regular"/>
          <w:b/>
        </w:rPr>
        <w:t xml:space="preserve">Type of appointment: </w:t>
      </w:r>
      <w:r w:rsidRPr="00141516">
        <w:rPr>
          <w:rFonts w:ascii="StobiSerif Regular" w:eastAsia="StobiSerif Regular" w:hAnsi="StobiSerif Regular" w:cs="StobiSerif Regular"/>
        </w:rPr>
        <w:t>Fixed-term contract</w:t>
      </w:r>
    </w:p>
    <w:p w14:paraId="00000006" w14:textId="77777777" w:rsidR="00C3271E" w:rsidRPr="00141516" w:rsidRDefault="00130B20">
      <w:pPr>
        <w:spacing w:after="0" w:line="240" w:lineRule="auto"/>
        <w:jc w:val="both"/>
        <w:rPr>
          <w:rFonts w:ascii="StobiSerif Regular" w:eastAsia="StobiSerif Regular" w:hAnsi="StobiSerif Regular" w:cs="StobiSerif Regular"/>
          <w:b/>
        </w:rPr>
      </w:pPr>
      <w:r w:rsidRPr="00141516">
        <w:rPr>
          <w:rFonts w:ascii="StobiSerif Regular" w:eastAsia="StobiSerif Regular" w:hAnsi="StobiSerif Regular" w:cs="StobiSerif Regular"/>
          <w:b/>
        </w:rPr>
        <w:t xml:space="preserve">Location: </w:t>
      </w:r>
      <w:r w:rsidRPr="00141516">
        <w:rPr>
          <w:rFonts w:ascii="StobiSerif Regular" w:eastAsia="StobiSerif Regular" w:hAnsi="StobiSerif Regular" w:cs="StobiSerif Regular"/>
        </w:rPr>
        <w:t>Skopje</w:t>
      </w:r>
    </w:p>
    <w:p w14:paraId="00000007" w14:textId="3156A45A" w:rsidR="00C3271E" w:rsidRPr="00141516" w:rsidRDefault="00130B20">
      <w:pPr>
        <w:spacing w:after="0" w:line="240" w:lineRule="auto"/>
        <w:jc w:val="both"/>
        <w:rPr>
          <w:rFonts w:ascii="StobiSerif Regular" w:eastAsia="StobiSerif Regular" w:hAnsi="StobiSerif Regular" w:cs="StobiSerif Regular"/>
          <w:b/>
        </w:rPr>
      </w:pPr>
      <w:r w:rsidRPr="00141516">
        <w:rPr>
          <w:rFonts w:ascii="StobiSerif Regular" w:eastAsia="StobiSerif Regular" w:hAnsi="StobiSerif Regular" w:cs="StobiSerif Regular"/>
          <w:b/>
        </w:rPr>
        <w:t xml:space="preserve">Number of open positions: </w:t>
      </w:r>
      <w:r w:rsidR="00C15F61" w:rsidRPr="00141516">
        <w:rPr>
          <w:rFonts w:ascii="StobiSerif Regular" w:eastAsia="StobiSerif Regular" w:hAnsi="StobiSerif Regular" w:cs="StobiSerif Regular"/>
        </w:rPr>
        <w:t>1</w:t>
      </w:r>
      <w:r w:rsidRPr="00141516">
        <w:rPr>
          <w:rFonts w:ascii="StobiSerif Regular" w:eastAsia="StobiSerif Regular" w:hAnsi="StobiSerif Regular" w:cs="StobiSerif Regular"/>
        </w:rPr>
        <w:t xml:space="preserve"> (</w:t>
      </w:r>
      <w:r w:rsidR="00C15F61" w:rsidRPr="00141516">
        <w:rPr>
          <w:rFonts w:ascii="StobiSerif Regular" w:eastAsia="StobiSerif Regular" w:hAnsi="StobiSerif Regular" w:cs="StobiSerif Regular"/>
        </w:rPr>
        <w:t>one</w:t>
      </w:r>
      <w:r w:rsidRPr="00141516">
        <w:rPr>
          <w:rFonts w:ascii="StobiSerif Regular" w:eastAsia="StobiSerif Regular" w:hAnsi="StobiSerif Regular" w:cs="StobiSerif Regular"/>
        </w:rPr>
        <w:t>)</w:t>
      </w:r>
      <w:r w:rsidRPr="00141516">
        <w:rPr>
          <w:rFonts w:ascii="StobiSerif Regular" w:eastAsia="StobiSerif Regular" w:hAnsi="StobiSerif Regular" w:cs="StobiSerif Regular"/>
          <w:b/>
        </w:rPr>
        <w:t xml:space="preserve"> </w:t>
      </w:r>
    </w:p>
    <w:p w14:paraId="00000008" w14:textId="5EBCA686" w:rsidR="00C3271E" w:rsidRPr="00141516" w:rsidRDefault="00130B20">
      <w:pPr>
        <w:spacing w:after="0" w:line="240" w:lineRule="auto"/>
        <w:jc w:val="both"/>
        <w:rPr>
          <w:rFonts w:ascii="StobiSerif Regular" w:eastAsia="StobiSerif Regular" w:hAnsi="StobiSerif Regular" w:cs="StobiSerif Regular"/>
          <w:b/>
        </w:rPr>
      </w:pPr>
      <w:r w:rsidRPr="00141516">
        <w:rPr>
          <w:rFonts w:ascii="StobiSerif Regular" w:eastAsia="StobiSerif Regular" w:hAnsi="StobiSerif Regular" w:cs="StobiSerif Regular"/>
          <w:b/>
        </w:rPr>
        <w:t>Deadline for application:</w:t>
      </w:r>
      <w:r w:rsidRPr="00141516">
        <w:rPr>
          <w:rFonts w:ascii="StobiSerif Regular" w:eastAsia="StobiSerif Regular" w:hAnsi="StobiSerif Regular" w:cs="StobiSerif Regular"/>
        </w:rPr>
        <w:t xml:space="preserve"> </w:t>
      </w:r>
      <w:sdt>
        <w:sdtPr>
          <w:tag w:val="goog_rdk_0"/>
          <w:id w:val="-1065795502"/>
        </w:sdtPr>
        <w:sdtEndPr/>
        <w:sdtContent/>
      </w:sdt>
      <w:r w:rsidR="00D247DC" w:rsidRPr="00141516">
        <w:rPr>
          <w:rFonts w:ascii="StobiSerif Regular" w:eastAsia="StobiSerif Regular" w:hAnsi="StobiSerif Regular" w:cs="StobiSerif Regular"/>
        </w:rPr>
        <w:t>22</w:t>
      </w:r>
      <w:r w:rsidR="00CB7EA0" w:rsidRPr="00141516">
        <w:rPr>
          <w:rFonts w:ascii="StobiSerif Regular" w:eastAsia="StobiSerif Regular" w:hAnsi="StobiSerif Regular" w:cs="StobiSerif Regular"/>
        </w:rPr>
        <w:t>.04.2022</w:t>
      </w:r>
      <w:r w:rsidR="006A3BBA" w:rsidRPr="00141516">
        <w:rPr>
          <w:rFonts w:ascii="StobiSerif Regular" w:eastAsia="StobiSerif Regular" w:hAnsi="StobiSerif Regular" w:cs="StobiSerif Regular"/>
        </w:rPr>
        <w:t xml:space="preserve"> (</w:t>
      </w:r>
      <w:r w:rsidR="00CB7EA0" w:rsidRPr="00141516">
        <w:rPr>
          <w:rFonts w:ascii="StobiSerif Regular" w:eastAsia="StobiSerif Regular" w:hAnsi="StobiSerif Regular" w:cs="StobiSerif Regular"/>
        </w:rPr>
        <w:t>23.59</w:t>
      </w:r>
      <w:r w:rsidR="006A3BBA" w:rsidRPr="00141516">
        <w:rPr>
          <w:rFonts w:ascii="StobiSerif Regular" w:eastAsia="StobiSerif Regular" w:hAnsi="StobiSerif Regular" w:cs="StobiSerif Regular"/>
        </w:rPr>
        <w:t xml:space="preserve"> CET)</w:t>
      </w:r>
    </w:p>
    <w:p w14:paraId="00000009" w14:textId="77777777" w:rsidR="00C3271E" w:rsidRPr="00141516" w:rsidRDefault="00C3271E">
      <w:pPr>
        <w:spacing w:after="0" w:line="240" w:lineRule="auto"/>
        <w:jc w:val="center"/>
        <w:rPr>
          <w:rFonts w:ascii="StobiSerif Regular" w:eastAsia="StobiSerif Regular" w:hAnsi="StobiSerif Regular" w:cs="StobiSerif Regular"/>
          <w:b/>
        </w:rPr>
      </w:pPr>
    </w:p>
    <w:p w14:paraId="0000000A" w14:textId="77777777" w:rsidR="00C3271E" w:rsidRPr="00141516" w:rsidRDefault="00C3271E">
      <w:pPr>
        <w:spacing w:after="0" w:line="240" w:lineRule="auto"/>
        <w:jc w:val="center"/>
        <w:rPr>
          <w:rFonts w:ascii="StobiSerif Regular" w:eastAsia="StobiSerif Regular" w:hAnsi="StobiSerif Regular" w:cs="StobiSerif Regular"/>
          <w:b/>
        </w:rPr>
      </w:pPr>
    </w:p>
    <w:p w14:paraId="0000000B" w14:textId="77777777" w:rsidR="00C3271E" w:rsidRPr="00141516" w:rsidRDefault="00130B20">
      <w:pPr>
        <w:spacing w:after="0" w:line="240" w:lineRule="auto"/>
        <w:jc w:val="center"/>
        <w:rPr>
          <w:rFonts w:ascii="StobiSerif Regular" w:eastAsia="StobiSerif Regular" w:hAnsi="StobiSerif Regular" w:cs="StobiSerif Regular"/>
          <w:b/>
        </w:rPr>
      </w:pPr>
      <w:r w:rsidRPr="00141516">
        <w:rPr>
          <w:rFonts w:ascii="StobiSerif Regular" w:eastAsia="StobiSerif Regular" w:hAnsi="StobiSerif Regular" w:cs="StobiSerif Regular"/>
          <w:b/>
        </w:rPr>
        <w:t>TERMS of REFERENCE</w:t>
      </w:r>
    </w:p>
    <w:p w14:paraId="3F9BB745" w14:textId="480A3603" w:rsidR="00141516" w:rsidRPr="00141516" w:rsidRDefault="00130B20">
      <w:pPr>
        <w:spacing w:after="0" w:line="240" w:lineRule="auto"/>
        <w:jc w:val="center"/>
        <w:rPr>
          <w:rFonts w:ascii="StobiSerif Regular" w:eastAsia="StobiSerif Regular" w:hAnsi="StobiSerif Regular" w:cs="StobiSerif Regular"/>
          <w:b/>
        </w:rPr>
      </w:pPr>
      <w:proofErr w:type="gramStart"/>
      <w:r w:rsidRPr="00141516">
        <w:rPr>
          <w:rFonts w:ascii="StobiSerif Regular" w:eastAsia="StobiSerif Regular" w:hAnsi="StobiSerif Regular" w:cs="StobiSerif Regular"/>
          <w:b/>
        </w:rPr>
        <w:t>for</w:t>
      </w:r>
      <w:proofErr w:type="gramEnd"/>
      <w:r w:rsidRPr="00141516">
        <w:rPr>
          <w:rFonts w:ascii="StobiSerif Regular" w:eastAsia="StobiSerif Regular" w:hAnsi="StobiSerif Regular" w:cs="StobiSerif Regular"/>
          <w:b/>
        </w:rPr>
        <w:t xml:space="preserve"> </w:t>
      </w:r>
      <w:r w:rsidR="003B16E2" w:rsidRPr="00141516">
        <w:rPr>
          <w:rFonts w:ascii="StobiSerif Regular" w:eastAsia="StobiSerif Regular" w:hAnsi="StobiSerif Regular" w:cs="StobiSerif Regular"/>
          <w:b/>
        </w:rPr>
        <w:t xml:space="preserve">support to EUSAIR </w:t>
      </w:r>
      <w:r w:rsidR="00141516" w:rsidRPr="00141516">
        <w:rPr>
          <w:rFonts w:ascii="StobiSerif Regular" w:eastAsia="StobiSerif Regular" w:hAnsi="StobiSerif Regular" w:cs="StobiSerif Regular"/>
          <w:b/>
        </w:rPr>
        <w:t>Transport networks</w:t>
      </w:r>
      <w:r w:rsidR="00141516" w:rsidRPr="00141516">
        <w:rPr>
          <w:rFonts w:ascii="StobiSerif Regular" w:eastAsia="StobiSerif Regular" w:hAnsi="StobiSerif Regular" w:cs="StobiSerif Regular"/>
          <w:b/>
        </w:rPr>
        <w:t xml:space="preserve"> </w:t>
      </w:r>
      <w:r w:rsidR="003B16E2" w:rsidRPr="00141516">
        <w:rPr>
          <w:rFonts w:ascii="StobiSerif Regular" w:eastAsia="StobiSerif Regular" w:hAnsi="StobiSerif Regular" w:cs="StobiSerif Regular"/>
          <w:b/>
        </w:rPr>
        <w:t>Coordinator</w:t>
      </w:r>
      <w:r w:rsidR="00141516" w:rsidRPr="00141516">
        <w:rPr>
          <w:rFonts w:ascii="StobiSerif Regular" w:eastAsia="StobiSerif Regular" w:hAnsi="StobiSerif Regular" w:cs="StobiSerif Regular"/>
          <w:b/>
        </w:rPr>
        <w:t xml:space="preserve"> of Pillar 2 </w:t>
      </w:r>
    </w:p>
    <w:p w14:paraId="0000000C" w14:textId="4AC6E1DD" w:rsidR="00C3271E" w:rsidRPr="00141516" w:rsidRDefault="00130B20">
      <w:pPr>
        <w:spacing w:after="0" w:line="240" w:lineRule="auto"/>
        <w:jc w:val="center"/>
        <w:rPr>
          <w:rFonts w:ascii="StobiSerif Regular" w:eastAsia="StobiSerif Regular" w:hAnsi="StobiSerif Regular" w:cs="StobiSerif Regular"/>
          <w:b/>
        </w:rPr>
      </w:pPr>
      <w:proofErr w:type="gramStart"/>
      <w:r w:rsidRPr="00141516">
        <w:rPr>
          <w:rFonts w:ascii="StobiSerif Regular" w:eastAsia="StobiSerif Regular" w:hAnsi="StobiSerif Regular" w:cs="StobiSerif Regular"/>
          <w:b/>
        </w:rPr>
        <w:t>for</w:t>
      </w:r>
      <w:proofErr w:type="gramEnd"/>
      <w:r w:rsidRPr="00141516">
        <w:rPr>
          <w:rFonts w:ascii="StobiSerif Regular" w:eastAsia="StobiSerif Regular" w:hAnsi="StobiSerif Regular" w:cs="StobiSerif Regular"/>
          <w:b/>
        </w:rPr>
        <w:t xml:space="preserve"> North Macedonia  </w:t>
      </w:r>
    </w:p>
    <w:p w14:paraId="0000000D" w14:textId="77777777" w:rsidR="00C3271E" w:rsidRPr="00141516" w:rsidRDefault="00C3271E">
      <w:pPr>
        <w:spacing w:after="0" w:line="240" w:lineRule="auto"/>
        <w:rPr>
          <w:rFonts w:ascii="StobiSerif Regular" w:eastAsia="StobiSerif Regular" w:hAnsi="StobiSerif Regular" w:cs="StobiSerif Regular"/>
          <w:b/>
        </w:rPr>
      </w:pPr>
    </w:p>
    <w:p w14:paraId="0000000E" w14:textId="77777777" w:rsidR="00C3271E" w:rsidRPr="00141516" w:rsidRDefault="00C3271E">
      <w:pPr>
        <w:spacing w:after="0" w:line="240" w:lineRule="auto"/>
        <w:rPr>
          <w:rFonts w:ascii="StobiSerif Regular" w:eastAsia="StobiSerif Regular" w:hAnsi="StobiSerif Regular" w:cs="StobiSerif Regular"/>
          <w:b/>
        </w:rPr>
      </w:pPr>
    </w:p>
    <w:p w14:paraId="0000000F" w14:textId="77777777" w:rsidR="00C3271E" w:rsidRPr="00141516" w:rsidRDefault="00C3271E">
      <w:pPr>
        <w:spacing w:after="0" w:line="240" w:lineRule="auto"/>
        <w:rPr>
          <w:rFonts w:ascii="StobiSerif Regular" w:eastAsia="StobiSerif Regular" w:hAnsi="StobiSerif Regular" w:cs="StobiSerif Regular"/>
          <w:b/>
        </w:rPr>
      </w:pPr>
    </w:p>
    <w:p w14:paraId="00000010" w14:textId="77777777" w:rsidR="00C3271E" w:rsidRPr="00141516" w:rsidRDefault="00130B20">
      <w:pPr>
        <w:numPr>
          <w:ilvl w:val="0"/>
          <w:numId w:val="2"/>
        </w:numPr>
        <w:pBdr>
          <w:top w:val="nil"/>
          <w:left w:val="nil"/>
          <w:bottom w:val="nil"/>
          <w:right w:val="nil"/>
          <w:between w:val="nil"/>
        </w:pBdr>
        <w:spacing w:after="0" w:line="240" w:lineRule="auto"/>
        <w:ind w:left="0"/>
        <w:rPr>
          <w:rFonts w:ascii="StobiSerif Regular" w:eastAsia="StobiSerif Regular" w:hAnsi="StobiSerif Regular" w:cs="StobiSerif Regular"/>
          <w:b/>
          <w:color w:val="000000"/>
        </w:rPr>
      </w:pPr>
      <w:r w:rsidRPr="00141516">
        <w:rPr>
          <w:rFonts w:ascii="StobiSerif Regular" w:eastAsia="StobiSerif Regular" w:hAnsi="StobiSerif Regular" w:cs="StobiSerif Regular"/>
          <w:b/>
          <w:color w:val="000000"/>
        </w:rPr>
        <w:t>SCOPE  OF CONTRACT</w:t>
      </w:r>
    </w:p>
    <w:p w14:paraId="00000013" w14:textId="3A77F236" w:rsidR="00C3271E" w:rsidRPr="00141516" w:rsidRDefault="00D247DC">
      <w:pPr>
        <w:pBdr>
          <w:top w:val="nil"/>
          <w:left w:val="nil"/>
          <w:bottom w:val="nil"/>
          <w:right w:val="nil"/>
          <w:between w:val="nil"/>
        </w:pBdr>
        <w:spacing w:after="0" w:line="240" w:lineRule="auto"/>
        <w:jc w:val="both"/>
        <w:rPr>
          <w:rFonts w:ascii="StobiSerif Regular" w:eastAsia="StobiSerif Regular" w:hAnsi="StobiSerif Regular" w:cs="StobiSerif Regular"/>
          <w:color w:val="000000"/>
        </w:rPr>
      </w:pPr>
      <w:r w:rsidRPr="00141516">
        <w:rPr>
          <w:rFonts w:ascii="StobiSerif Regular" w:eastAsia="StobiSerif Regular" w:hAnsi="StobiSerif Regular" w:cs="StobiSerif Regular"/>
          <w:color w:val="000000"/>
        </w:rPr>
        <w:t>Selection of 1</w:t>
      </w:r>
      <w:r w:rsidR="00130B20" w:rsidRPr="00141516">
        <w:rPr>
          <w:rFonts w:ascii="StobiSerif Regular" w:eastAsia="StobiSerif Regular" w:hAnsi="StobiSerif Regular" w:cs="StobiSerif Regular"/>
          <w:color w:val="000000"/>
        </w:rPr>
        <w:t xml:space="preserve"> (</w:t>
      </w:r>
      <w:r w:rsidRPr="00141516">
        <w:rPr>
          <w:rFonts w:ascii="StobiSerif Regular" w:eastAsia="StobiSerif Regular" w:hAnsi="StobiSerif Regular" w:cs="StobiSerif Regular"/>
          <w:color w:val="000000"/>
        </w:rPr>
        <w:t>one) full time thematic expert</w:t>
      </w:r>
      <w:r w:rsidR="00130B20" w:rsidRPr="00141516">
        <w:rPr>
          <w:rFonts w:ascii="StobiSerif Regular" w:eastAsia="StobiSerif Regular" w:hAnsi="StobiSerif Regular" w:cs="StobiSerif Regular"/>
          <w:color w:val="000000"/>
        </w:rPr>
        <w:t xml:space="preserve"> for support of the administration of the North Macedonia in the implementation of the EU Strategy for the Adriatic and Ionian Region (EUSAIR), notably to the formal</w:t>
      </w:r>
      <w:r w:rsidRPr="00141516">
        <w:rPr>
          <w:rFonts w:ascii="StobiSerif Regular" w:eastAsia="StobiSerif Regular" w:hAnsi="StobiSerif Regular" w:cs="StobiSerif Regular"/>
          <w:color w:val="000000"/>
        </w:rPr>
        <w:t xml:space="preserve">ly appointed </w:t>
      </w:r>
      <w:r w:rsidR="00141516" w:rsidRPr="00141516">
        <w:rPr>
          <w:rFonts w:ascii="StobiSerif Regular" w:eastAsia="StobiSerif Regular" w:hAnsi="StobiSerif Regular" w:cs="StobiSerif Regular"/>
          <w:color w:val="000000"/>
        </w:rPr>
        <w:t xml:space="preserve">Transport networks </w:t>
      </w:r>
      <w:r w:rsidRPr="00141516">
        <w:rPr>
          <w:rFonts w:ascii="StobiSerif Regular" w:eastAsia="StobiSerif Regular" w:hAnsi="StobiSerif Regular" w:cs="StobiSerif Regular"/>
          <w:color w:val="000000"/>
        </w:rPr>
        <w:t>Pillar Coordinator (PC</w:t>
      </w:r>
      <w:r w:rsidR="00130B20" w:rsidRPr="00141516">
        <w:rPr>
          <w:rFonts w:ascii="StobiSerif Regular" w:eastAsia="StobiSerif Regular" w:hAnsi="StobiSerif Regular" w:cs="StobiSerif Regular"/>
          <w:color w:val="000000"/>
        </w:rPr>
        <w:t>) of Pi</w:t>
      </w:r>
      <w:r w:rsidR="00645053">
        <w:rPr>
          <w:rFonts w:ascii="StobiSerif Regular" w:eastAsia="StobiSerif Regular" w:hAnsi="StobiSerif Regular" w:cs="StobiSerif Regular"/>
          <w:color w:val="000000"/>
        </w:rPr>
        <w:t xml:space="preserve">llar 2 – Connecting the Region </w:t>
      </w:r>
      <w:r w:rsidR="00130B20" w:rsidRPr="00141516">
        <w:rPr>
          <w:rFonts w:ascii="StobiSerif Regular" w:eastAsia="StobiSerif Regular" w:hAnsi="StobiSerif Regular" w:cs="StobiSerif Regular"/>
          <w:color w:val="000000"/>
        </w:rPr>
        <w:t>within the Ministry o</w:t>
      </w:r>
      <w:r w:rsidR="00141516">
        <w:rPr>
          <w:rFonts w:ascii="StobiSerif Regular" w:eastAsia="StobiSerif Regular" w:hAnsi="StobiSerif Regular" w:cs="StobiSerif Regular"/>
          <w:color w:val="000000"/>
        </w:rPr>
        <w:t xml:space="preserve">f Transport and Communications. </w:t>
      </w:r>
      <w:r w:rsidR="00130B20" w:rsidRPr="00141516">
        <w:rPr>
          <w:rFonts w:ascii="StobiSerif Regular" w:eastAsia="StobiSerif Regular" w:hAnsi="StobiSerif Regular" w:cs="StobiSerif Regular"/>
          <w:color w:val="000000"/>
        </w:rPr>
        <w:t xml:space="preserve"> </w:t>
      </w:r>
    </w:p>
    <w:p w14:paraId="00000014" w14:textId="77777777" w:rsidR="00C3271E" w:rsidRPr="00141516" w:rsidRDefault="00C3271E">
      <w:pPr>
        <w:pBdr>
          <w:top w:val="nil"/>
          <w:left w:val="nil"/>
          <w:bottom w:val="nil"/>
          <w:right w:val="nil"/>
          <w:between w:val="nil"/>
        </w:pBdr>
        <w:spacing w:after="0" w:line="240" w:lineRule="auto"/>
        <w:rPr>
          <w:rFonts w:ascii="StobiSerif Regular" w:eastAsia="StobiSerif Regular" w:hAnsi="StobiSerif Regular" w:cs="StobiSerif Regular"/>
          <w:b/>
          <w:color w:val="000000"/>
        </w:rPr>
      </w:pPr>
    </w:p>
    <w:p w14:paraId="00000015" w14:textId="77777777" w:rsidR="00C3271E" w:rsidRPr="00141516" w:rsidRDefault="00130B20">
      <w:pPr>
        <w:numPr>
          <w:ilvl w:val="0"/>
          <w:numId w:val="2"/>
        </w:numPr>
        <w:pBdr>
          <w:top w:val="nil"/>
          <w:left w:val="nil"/>
          <w:bottom w:val="nil"/>
          <w:right w:val="nil"/>
          <w:between w:val="nil"/>
        </w:pBdr>
        <w:spacing w:after="0" w:line="240" w:lineRule="auto"/>
        <w:ind w:left="0"/>
        <w:rPr>
          <w:rFonts w:ascii="StobiSerif Regular" w:eastAsia="StobiSerif Regular" w:hAnsi="StobiSerif Regular" w:cs="StobiSerif Regular"/>
          <w:b/>
          <w:color w:val="000000"/>
        </w:rPr>
      </w:pPr>
      <w:r w:rsidRPr="00141516">
        <w:rPr>
          <w:rFonts w:ascii="StobiSerif Regular" w:eastAsia="StobiSerif Regular" w:hAnsi="StobiSerif Regular" w:cs="StobiSerif Regular"/>
          <w:b/>
          <w:color w:val="000000"/>
        </w:rPr>
        <w:t>CONTEXT</w:t>
      </w:r>
    </w:p>
    <w:p w14:paraId="00000016" w14:textId="47F7E0C3" w:rsidR="00C3271E" w:rsidRPr="00141516" w:rsidRDefault="00130B20">
      <w:pPr>
        <w:pBdr>
          <w:top w:val="nil"/>
          <w:left w:val="nil"/>
          <w:bottom w:val="nil"/>
          <w:right w:val="nil"/>
          <w:between w:val="nil"/>
        </w:pBdr>
        <w:spacing w:after="0" w:line="240" w:lineRule="auto"/>
        <w:jc w:val="both"/>
        <w:rPr>
          <w:rFonts w:ascii="StobiSerif Regular" w:eastAsia="StobiSerif Regular" w:hAnsi="StobiSerif Regular" w:cs="StobiSerif Regular"/>
          <w:color w:val="000000"/>
        </w:rPr>
      </w:pPr>
      <w:r w:rsidRPr="00141516">
        <w:rPr>
          <w:rFonts w:ascii="StobiSerif Regular" w:eastAsia="StobiSerif Regular" w:hAnsi="StobiSerif Regular" w:cs="StobiSerif Regular"/>
          <w:color w:val="000000"/>
        </w:rPr>
        <w:t>EUSAIR was adopted by the Commission on 17 June 2014</w:t>
      </w:r>
      <w:r w:rsidRPr="00141516">
        <w:rPr>
          <w:rFonts w:ascii="StobiSerif Regular" w:eastAsia="StobiSerif Regular" w:hAnsi="StobiSerif Regular" w:cs="StobiSerif Regular"/>
          <w:color w:val="000000"/>
          <w:vertAlign w:val="superscript"/>
        </w:rPr>
        <w:footnoteReference w:id="1"/>
      </w:r>
      <w:r w:rsidRPr="00141516">
        <w:rPr>
          <w:rFonts w:ascii="StobiSerif Regular" w:eastAsia="StobiSerif Regular" w:hAnsi="StobiSerif Regular" w:cs="StobiSerif Regular"/>
          <w:color w:val="000000"/>
        </w:rPr>
        <w:t>. It was endorsed by the General Affairs Council on 29 September 2014</w:t>
      </w:r>
      <w:r w:rsidRPr="00141516">
        <w:rPr>
          <w:rFonts w:ascii="StobiSerif Regular" w:eastAsia="StobiSerif Regular" w:hAnsi="StobiSerif Regular" w:cs="StobiSerif Regular"/>
          <w:color w:val="000000"/>
          <w:vertAlign w:val="superscript"/>
        </w:rPr>
        <w:footnoteReference w:id="2"/>
      </w:r>
      <w:r w:rsidRPr="00141516">
        <w:rPr>
          <w:rFonts w:ascii="StobiSerif Regular" w:eastAsia="StobiSerif Regular" w:hAnsi="StobiSerif Regular" w:cs="StobiSerif Regular"/>
          <w:color w:val="000000"/>
        </w:rPr>
        <w:t xml:space="preserve"> and by the European Council on 23-24 October 201</w:t>
      </w:r>
      <w:r w:rsidR="004E5E2C" w:rsidRPr="00141516">
        <w:rPr>
          <w:rFonts w:ascii="StobiSerif Regular" w:eastAsia="StobiSerif Regular" w:hAnsi="StobiSerif Regular" w:cs="StobiSerif Regular"/>
          <w:color w:val="000000"/>
        </w:rPr>
        <w:t>4</w:t>
      </w:r>
      <w:r w:rsidRPr="00141516">
        <w:rPr>
          <w:rFonts w:ascii="StobiSerif Regular" w:eastAsia="StobiSerif Regular" w:hAnsi="StobiSerif Regular" w:cs="StobiSerif Regular"/>
          <w:color w:val="000000"/>
          <w:vertAlign w:val="superscript"/>
        </w:rPr>
        <w:footnoteReference w:id="3"/>
      </w:r>
      <w:r w:rsidRPr="00141516">
        <w:rPr>
          <w:rFonts w:ascii="StobiSerif Regular" w:eastAsia="StobiSerif Regular" w:hAnsi="StobiSerif Regular" w:cs="StobiSerif Regular"/>
          <w:color w:val="000000"/>
        </w:rPr>
        <w:t>. The geographical coverage of EUSAIR was extended in 2020 by accepting North Macedonia</w:t>
      </w:r>
      <w:r w:rsidRPr="00141516">
        <w:rPr>
          <w:rFonts w:ascii="StobiSerif Regular" w:eastAsia="StobiSerif Regular" w:hAnsi="StobiSerif Regular" w:cs="StobiSerif Regular"/>
          <w:color w:val="000000"/>
          <w:vertAlign w:val="superscript"/>
        </w:rPr>
        <w:footnoteReference w:id="4"/>
      </w:r>
      <w:r w:rsidRPr="00141516">
        <w:rPr>
          <w:rFonts w:ascii="StobiSerif Regular" w:eastAsia="StobiSerif Regular" w:hAnsi="StobiSerif Regular" w:cs="StobiSerif Regular"/>
          <w:color w:val="000000"/>
        </w:rPr>
        <w:t xml:space="preserve"> and again in 2022 by accepting San Marino</w:t>
      </w:r>
      <w:r w:rsidRPr="00141516">
        <w:rPr>
          <w:rFonts w:ascii="StobiSerif Regular" w:eastAsia="StobiSerif Regular" w:hAnsi="StobiSerif Regular" w:cs="StobiSerif Regular"/>
          <w:color w:val="000000"/>
          <w:vertAlign w:val="superscript"/>
        </w:rPr>
        <w:footnoteReference w:id="5"/>
      </w:r>
      <w:r w:rsidRPr="00141516">
        <w:rPr>
          <w:rFonts w:ascii="StobiSerif Regular" w:eastAsia="StobiSerif Regular" w:hAnsi="StobiSerif Regular" w:cs="StobiSerif Regular"/>
          <w:color w:val="000000"/>
        </w:rPr>
        <w:t>.</w:t>
      </w:r>
    </w:p>
    <w:p w14:paraId="00000017" w14:textId="77777777" w:rsidR="00C3271E" w:rsidRPr="00141516" w:rsidRDefault="00C3271E">
      <w:pPr>
        <w:pBdr>
          <w:top w:val="nil"/>
          <w:left w:val="nil"/>
          <w:bottom w:val="nil"/>
          <w:right w:val="nil"/>
          <w:between w:val="nil"/>
        </w:pBdr>
        <w:spacing w:after="0" w:line="240" w:lineRule="auto"/>
        <w:jc w:val="both"/>
        <w:rPr>
          <w:rFonts w:ascii="StobiSerif Regular" w:eastAsia="StobiSerif Regular" w:hAnsi="StobiSerif Regular" w:cs="StobiSerif Regular"/>
          <w:color w:val="000000"/>
        </w:rPr>
      </w:pPr>
    </w:p>
    <w:p w14:paraId="00000018" w14:textId="77777777" w:rsidR="00C3271E" w:rsidRPr="00141516" w:rsidRDefault="00130B20">
      <w:pPr>
        <w:pBdr>
          <w:top w:val="nil"/>
          <w:left w:val="nil"/>
          <w:bottom w:val="nil"/>
          <w:right w:val="nil"/>
          <w:between w:val="nil"/>
        </w:pBdr>
        <w:spacing w:after="0" w:line="240" w:lineRule="auto"/>
        <w:jc w:val="both"/>
        <w:rPr>
          <w:rFonts w:ascii="StobiSerif Regular" w:eastAsia="StobiSerif Regular" w:hAnsi="StobiSerif Regular" w:cs="StobiSerif Regular"/>
          <w:color w:val="000000"/>
        </w:rPr>
      </w:pPr>
      <w:r w:rsidRPr="00141516">
        <w:rPr>
          <w:rFonts w:ascii="StobiSerif Regular" w:eastAsia="StobiSerif Regular" w:hAnsi="StobiSerif Regular" w:cs="StobiSerif Regular"/>
          <w:color w:val="000000"/>
        </w:rPr>
        <w:t>The EUSAIR is aimed at helping the ten participating countries to strengthen their cooperation in the fields of blue economy, transport and energy networks, environment and sustainable tourism (EUSAIR Pillars). EUSAIR was jointly developed by the Commission and the Adriatic-Ionian Region countries and stakeholders, which agreed to work together on the areas of common interest for the benefit of each country and the whole region.</w:t>
      </w:r>
    </w:p>
    <w:p w14:paraId="00000019" w14:textId="77777777" w:rsidR="00C3271E" w:rsidRPr="00141516" w:rsidRDefault="00C3271E">
      <w:pPr>
        <w:pBdr>
          <w:top w:val="nil"/>
          <w:left w:val="nil"/>
          <w:bottom w:val="nil"/>
          <w:right w:val="nil"/>
          <w:between w:val="nil"/>
        </w:pBdr>
        <w:spacing w:after="0" w:line="240" w:lineRule="auto"/>
        <w:jc w:val="both"/>
        <w:rPr>
          <w:rFonts w:ascii="StobiSerif Regular" w:eastAsia="StobiSerif Regular" w:hAnsi="StobiSerif Regular" w:cs="StobiSerif Regular"/>
          <w:color w:val="000000"/>
        </w:rPr>
      </w:pPr>
    </w:p>
    <w:p w14:paraId="0000001A" w14:textId="77777777" w:rsidR="00C3271E" w:rsidRPr="00141516" w:rsidRDefault="00130B20">
      <w:pPr>
        <w:pBdr>
          <w:top w:val="nil"/>
          <w:left w:val="nil"/>
          <w:bottom w:val="nil"/>
          <w:right w:val="nil"/>
          <w:between w:val="nil"/>
        </w:pBdr>
        <w:spacing w:after="0" w:line="240" w:lineRule="auto"/>
        <w:jc w:val="both"/>
        <w:rPr>
          <w:rFonts w:ascii="StobiSerif Regular" w:eastAsia="StobiSerif Regular" w:hAnsi="StobiSerif Regular" w:cs="StobiSerif Regular"/>
          <w:color w:val="000000"/>
        </w:rPr>
      </w:pPr>
      <w:r w:rsidRPr="00141516">
        <w:rPr>
          <w:rFonts w:ascii="StobiSerif Regular" w:eastAsia="StobiSerif Regular" w:hAnsi="StobiSerif Regular" w:cs="StobiSerif Regular"/>
          <w:color w:val="000000"/>
        </w:rPr>
        <w:t xml:space="preserve">Each Pillar is implemented by a Thematic Steering Group, guided by a tandem of PCs: one from an EU Member States, one from an Enlargement country, with exception of the Pillar 2 – Connecting the Region, according to the scheme below: </w:t>
      </w:r>
    </w:p>
    <w:p w14:paraId="0000001B" w14:textId="77777777" w:rsidR="00C3271E" w:rsidRPr="00141516" w:rsidRDefault="00C3271E">
      <w:pPr>
        <w:pBdr>
          <w:top w:val="nil"/>
          <w:left w:val="nil"/>
          <w:bottom w:val="nil"/>
          <w:right w:val="nil"/>
          <w:between w:val="nil"/>
        </w:pBdr>
        <w:spacing w:after="0" w:line="240" w:lineRule="auto"/>
        <w:rPr>
          <w:rFonts w:ascii="StobiSerif Regular" w:eastAsia="StobiSerif Regular" w:hAnsi="StobiSerif Regular" w:cs="StobiSerif Regular"/>
          <w:color w:val="000000"/>
        </w:rPr>
      </w:pPr>
    </w:p>
    <w:tbl>
      <w:tblPr>
        <w:tblStyle w:val="a"/>
        <w:tblW w:w="834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9"/>
        <w:gridCol w:w="1559"/>
        <w:gridCol w:w="1554"/>
      </w:tblGrid>
      <w:tr w:rsidR="00C3271E" w:rsidRPr="00141516" w14:paraId="7D8F1D40" w14:textId="77777777">
        <w:tc>
          <w:tcPr>
            <w:tcW w:w="5229" w:type="dxa"/>
          </w:tcPr>
          <w:p w14:paraId="0000001C" w14:textId="77777777" w:rsidR="00C3271E" w:rsidRPr="00141516" w:rsidRDefault="00130B20" w:rsidP="00B55330">
            <w:pPr>
              <w:pBdr>
                <w:top w:val="nil"/>
                <w:left w:val="nil"/>
                <w:bottom w:val="nil"/>
                <w:right w:val="nil"/>
                <w:between w:val="nil"/>
              </w:pBdr>
              <w:rPr>
                <w:rFonts w:ascii="StobiSerif Regular" w:eastAsia="StobiSerif Regular" w:hAnsi="StobiSerif Regular" w:cs="StobiSerif Regular"/>
                <w:color w:val="000000"/>
              </w:rPr>
            </w:pPr>
            <w:r w:rsidRPr="00141516">
              <w:rPr>
                <w:rFonts w:ascii="StobiSerif Regular" w:eastAsia="StobiSerif Regular" w:hAnsi="StobiSerif Regular" w:cs="StobiSerif Regular"/>
                <w:color w:val="000000"/>
              </w:rPr>
              <w:t>Pillar 1 – Blue Growth</w:t>
            </w:r>
          </w:p>
        </w:tc>
        <w:tc>
          <w:tcPr>
            <w:tcW w:w="1559" w:type="dxa"/>
          </w:tcPr>
          <w:p w14:paraId="0000001D" w14:textId="77777777" w:rsidR="00C3271E" w:rsidRPr="00141516" w:rsidRDefault="00130B20" w:rsidP="00B55330">
            <w:pPr>
              <w:pBdr>
                <w:top w:val="nil"/>
                <w:left w:val="nil"/>
                <w:bottom w:val="nil"/>
                <w:right w:val="nil"/>
                <w:between w:val="nil"/>
              </w:pBdr>
              <w:rPr>
                <w:rFonts w:ascii="StobiSerif Regular" w:eastAsia="StobiSerif Regular" w:hAnsi="StobiSerif Regular" w:cs="StobiSerif Regular"/>
                <w:color w:val="000000"/>
              </w:rPr>
            </w:pPr>
            <w:r w:rsidRPr="00141516">
              <w:rPr>
                <w:rFonts w:ascii="StobiSerif Regular" w:eastAsia="StobiSerif Regular" w:hAnsi="StobiSerif Regular" w:cs="StobiSerif Regular"/>
                <w:color w:val="000000"/>
              </w:rPr>
              <w:t>Greece</w:t>
            </w:r>
          </w:p>
        </w:tc>
        <w:tc>
          <w:tcPr>
            <w:tcW w:w="1554" w:type="dxa"/>
          </w:tcPr>
          <w:p w14:paraId="0000001E" w14:textId="77777777" w:rsidR="00C3271E" w:rsidRPr="00141516" w:rsidRDefault="00130B20" w:rsidP="00B55330">
            <w:pPr>
              <w:pBdr>
                <w:top w:val="nil"/>
                <w:left w:val="nil"/>
                <w:bottom w:val="nil"/>
                <w:right w:val="nil"/>
                <w:between w:val="nil"/>
              </w:pBdr>
              <w:rPr>
                <w:rFonts w:ascii="StobiSerif Regular" w:eastAsia="StobiSerif Regular" w:hAnsi="StobiSerif Regular" w:cs="StobiSerif Regular"/>
                <w:color w:val="000000"/>
              </w:rPr>
            </w:pPr>
            <w:r w:rsidRPr="00141516">
              <w:rPr>
                <w:rFonts w:ascii="StobiSerif Regular" w:eastAsia="StobiSerif Regular" w:hAnsi="StobiSerif Regular" w:cs="StobiSerif Regular"/>
                <w:color w:val="000000"/>
              </w:rPr>
              <w:t>Montenegro</w:t>
            </w:r>
          </w:p>
        </w:tc>
      </w:tr>
      <w:tr w:rsidR="00C3271E" w:rsidRPr="00141516" w14:paraId="7662124A" w14:textId="77777777">
        <w:tc>
          <w:tcPr>
            <w:tcW w:w="5229" w:type="dxa"/>
          </w:tcPr>
          <w:p w14:paraId="0000001F" w14:textId="77777777" w:rsidR="00C3271E" w:rsidRPr="00141516" w:rsidRDefault="00130B20" w:rsidP="00B55330">
            <w:pPr>
              <w:pBdr>
                <w:top w:val="nil"/>
                <w:left w:val="nil"/>
                <w:bottom w:val="nil"/>
                <w:right w:val="nil"/>
                <w:between w:val="nil"/>
              </w:pBdr>
              <w:rPr>
                <w:rFonts w:ascii="StobiSerif Regular" w:eastAsia="StobiSerif Regular" w:hAnsi="StobiSerif Regular" w:cs="StobiSerif Regular"/>
                <w:color w:val="000000"/>
              </w:rPr>
            </w:pPr>
            <w:r w:rsidRPr="00141516">
              <w:rPr>
                <w:rFonts w:ascii="StobiSerif Regular" w:eastAsia="StobiSerif Regular" w:hAnsi="StobiSerif Regular" w:cs="StobiSerif Regular"/>
                <w:color w:val="000000"/>
              </w:rPr>
              <w:t xml:space="preserve">Pillar 2 – Connecting the Region (Transport and Energy networks) </w:t>
            </w:r>
          </w:p>
        </w:tc>
        <w:tc>
          <w:tcPr>
            <w:tcW w:w="1559" w:type="dxa"/>
          </w:tcPr>
          <w:p w14:paraId="00000020" w14:textId="77777777" w:rsidR="00C3271E" w:rsidRPr="00141516" w:rsidRDefault="00130B20" w:rsidP="00B55330">
            <w:pPr>
              <w:pBdr>
                <w:top w:val="nil"/>
                <w:left w:val="nil"/>
                <w:bottom w:val="nil"/>
                <w:right w:val="nil"/>
                <w:between w:val="nil"/>
              </w:pBdr>
              <w:rPr>
                <w:rFonts w:ascii="StobiSerif Regular" w:eastAsia="StobiSerif Regular" w:hAnsi="StobiSerif Regular" w:cs="StobiSerif Regular"/>
                <w:color w:val="000000"/>
              </w:rPr>
            </w:pPr>
            <w:r w:rsidRPr="00141516">
              <w:rPr>
                <w:rFonts w:ascii="StobiSerif Regular" w:eastAsia="StobiSerif Regular" w:hAnsi="StobiSerif Regular" w:cs="StobiSerif Regular"/>
                <w:color w:val="000000"/>
              </w:rPr>
              <w:t>Italy</w:t>
            </w:r>
          </w:p>
        </w:tc>
        <w:tc>
          <w:tcPr>
            <w:tcW w:w="1554" w:type="dxa"/>
          </w:tcPr>
          <w:p w14:paraId="00000021" w14:textId="77777777" w:rsidR="00C3271E" w:rsidRPr="00141516" w:rsidRDefault="00130B20" w:rsidP="00B55330">
            <w:pPr>
              <w:pBdr>
                <w:top w:val="nil"/>
                <w:left w:val="nil"/>
                <w:bottom w:val="nil"/>
                <w:right w:val="nil"/>
                <w:between w:val="nil"/>
              </w:pBdr>
              <w:rPr>
                <w:rFonts w:ascii="StobiSerif Regular" w:eastAsia="StobiSerif Regular" w:hAnsi="StobiSerif Regular" w:cs="StobiSerif Regular"/>
                <w:color w:val="000000"/>
              </w:rPr>
            </w:pPr>
            <w:r w:rsidRPr="00141516">
              <w:rPr>
                <w:rFonts w:ascii="StobiSerif Regular" w:eastAsia="StobiSerif Regular" w:hAnsi="StobiSerif Regular" w:cs="StobiSerif Regular"/>
                <w:color w:val="000000"/>
              </w:rPr>
              <w:t xml:space="preserve">Serbia </w:t>
            </w:r>
          </w:p>
          <w:p w14:paraId="00000022" w14:textId="77777777" w:rsidR="00C3271E" w:rsidRPr="00141516" w:rsidRDefault="00130B20" w:rsidP="00B55330">
            <w:pPr>
              <w:pBdr>
                <w:top w:val="nil"/>
                <w:left w:val="nil"/>
                <w:bottom w:val="nil"/>
                <w:right w:val="nil"/>
                <w:between w:val="nil"/>
              </w:pBdr>
              <w:rPr>
                <w:rFonts w:ascii="StobiSerif Regular" w:eastAsia="StobiSerif Regular" w:hAnsi="StobiSerif Regular" w:cs="StobiSerif Regular"/>
                <w:color w:val="000000"/>
              </w:rPr>
            </w:pPr>
            <w:r w:rsidRPr="00141516">
              <w:rPr>
                <w:rFonts w:ascii="StobiSerif Regular" w:eastAsia="StobiSerif Regular" w:hAnsi="StobiSerif Regular" w:cs="StobiSerif Regular"/>
                <w:color w:val="000000"/>
              </w:rPr>
              <w:t>North Macedonia</w:t>
            </w:r>
          </w:p>
        </w:tc>
      </w:tr>
      <w:tr w:rsidR="00C3271E" w:rsidRPr="00141516" w14:paraId="2B648C68" w14:textId="77777777">
        <w:tc>
          <w:tcPr>
            <w:tcW w:w="5229" w:type="dxa"/>
          </w:tcPr>
          <w:p w14:paraId="00000023" w14:textId="77777777" w:rsidR="00C3271E" w:rsidRPr="00141516" w:rsidRDefault="00130B20" w:rsidP="00B55330">
            <w:pPr>
              <w:pBdr>
                <w:top w:val="nil"/>
                <w:left w:val="nil"/>
                <w:bottom w:val="nil"/>
                <w:right w:val="nil"/>
                <w:between w:val="nil"/>
              </w:pBdr>
              <w:rPr>
                <w:rFonts w:ascii="StobiSerif Regular" w:eastAsia="StobiSerif Regular" w:hAnsi="StobiSerif Regular" w:cs="StobiSerif Regular"/>
                <w:color w:val="000000"/>
              </w:rPr>
            </w:pPr>
            <w:r w:rsidRPr="00141516">
              <w:rPr>
                <w:rFonts w:ascii="StobiSerif Regular" w:eastAsia="StobiSerif Regular" w:hAnsi="StobiSerif Regular" w:cs="StobiSerif Regular"/>
                <w:color w:val="000000"/>
              </w:rPr>
              <w:t>Pillar 3 – Environmental Quality</w:t>
            </w:r>
          </w:p>
        </w:tc>
        <w:tc>
          <w:tcPr>
            <w:tcW w:w="1559" w:type="dxa"/>
          </w:tcPr>
          <w:p w14:paraId="00000024" w14:textId="77777777" w:rsidR="00C3271E" w:rsidRPr="00141516" w:rsidRDefault="00130B20" w:rsidP="00B55330">
            <w:pPr>
              <w:pBdr>
                <w:top w:val="nil"/>
                <w:left w:val="nil"/>
                <w:bottom w:val="nil"/>
                <w:right w:val="nil"/>
                <w:between w:val="nil"/>
              </w:pBdr>
              <w:rPr>
                <w:rFonts w:ascii="StobiSerif Regular" w:eastAsia="StobiSerif Regular" w:hAnsi="StobiSerif Regular" w:cs="StobiSerif Regular"/>
                <w:color w:val="000000"/>
              </w:rPr>
            </w:pPr>
            <w:r w:rsidRPr="00141516">
              <w:rPr>
                <w:rFonts w:ascii="StobiSerif Regular" w:eastAsia="StobiSerif Regular" w:hAnsi="StobiSerif Regular" w:cs="StobiSerif Regular"/>
                <w:color w:val="000000"/>
              </w:rPr>
              <w:t>Slovenia</w:t>
            </w:r>
          </w:p>
        </w:tc>
        <w:tc>
          <w:tcPr>
            <w:tcW w:w="1554" w:type="dxa"/>
          </w:tcPr>
          <w:p w14:paraId="00000025" w14:textId="77777777" w:rsidR="00C3271E" w:rsidRPr="00141516" w:rsidRDefault="00130B20" w:rsidP="00B55330">
            <w:pPr>
              <w:pBdr>
                <w:top w:val="nil"/>
                <w:left w:val="nil"/>
                <w:bottom w:val="nil"/>
                <w:right w:val="nil"/>
                <w:between w:val="nil"/>
              </w:pBdr>
              <w:rPr>
                <w:rFonts w:ascii="StobiSerif Regular" w:eastAsia="StobiSerif Regular" w:hAnsi="StobiSerif Regular" w:cs="StobiSerif Regular"/>
                <w:color w:val="000000"/>
              </w:rPr>
            </w:pPr>
            <w:r w:rsidRPr="00141516">
              <w:rPr>
                <w:rFonts w:ascii="StobiSerif Regular" w:eastAsia="StobiSerif Regular" w:hAnsi="StobiSerif Regular" w:cs="StobiSerif Regular"/>
                <w:color w:val="000000"/>
              </w:rPr>
              <w:t>Bosnia and Herzegovina</w:t>
            </w:r>
          </w:p>
        </w:tc>
      </w:tr>
      <w:tr w:rsidR="00C3271E" w:rsidRPr="00141516" w14:paraId="4B6B3E6F" w14:textId="77777777">
        <w:tc>
          <w:tcPr>
            <w:tcW w:w="5229" w:type="dxa"/>
          </w:tcPr>
          <w:p w14:paraId="00000026" w14:textId="77777777" w:rsidR="00C3271E" w:rsidRPr="00141516" w:rsidRDefault="00130B20" w:rsidP="00B55330">
            <w:pPr>
              <w:pBdr>
                <w:top w:val="nil"/>
                <w:left w:val="nil"/>
                <w:bottom w:val="nil"/>
                <w:right w:val="nil"/>
                <w:between w:val="nil"/>
              </w:pBdr>
              <w:rPr>
                <w:rFonts w:ascii="StobiSerif Regular" w:eastAsia="StobiSerif Regular" w:hAnsi="StobiSerif Regular" w:cs="StobiSerif Regular"/>
                <w:color w:val="000000"/>
              </w:rPr>
            </w:pPr>
            <w:r w:rsidRPr="00141516">
              <w:rPr>
                <w:rFonts w:ascii="StobiSerif Regular" w:eastAsia="StobiSerif Regular" w:hAnsi="StobiSerif Regular" w:cs="StobiSerif Regular"/>
                <w:color w:val="000000"/>
              </w:rPr>
              <w:t>Pillar 4 – Sustainable Tourism</w:t>
            </w:r>
          </w:p>
        </w:tc>
        <w:tc>
          <w:tcPr>
            <w:tcW w:w="1559" w:type="dxa"/>
          </w:tcPr>
          <w:p w14:paraId="00000027" w14:textId="77777777" w:rsidR="00C3271E" w:rsidRPr="00141516" w:rsidRDefault="00130B20" w:rsidP="00B55330">
            <w:pPr>
              <w:pBdr>
                <w:top w:val="nil"/>
                <w:left w:val="nil"/>
                <w:bottom w:val="nil"/>
                <w:right w:val="nil"/>
                <w:between w:val="nil"/>
              </w:pBdr>
              <w:rPr>
                <w:rFonts w:ascii="StobiSerif Regular" w:eastAsia="StobiSerif Regular" w:hAnsi="StobiSerif Regular" w:cs="StobiSerif Regular"/>
                <w:color w:val="000000"/>
              </w:rPr>
            </w:pPr>
            <w:r w:rsidRPr="00141516">
              <w:rPr>
                <w:rFonts w:ascii="StobiSerif Regular" w:eastAsia="StobiSerif Regular" w:hAnsi="StobiSerif Regular" w:cs="StobiSerif Regular"/>
                <w:color w:val="000000"/>
              </w:rPr>
              <w:t>Croatia</w:t>
            </w:r>
          </w:p>
        </w:tc>
        <w:tc>
          <w:tcPr>
            <w:tcW w:w="1554" w:type="dxa"/>
          </w:tcPr>
          <w:p w14:paraId="00000028" w14:textId="77777777" w:rsidR="00C3271E" w:rsidRPr="00141516" w:rsidRDefault="00130B20" w:rsidP="00B55330">
            <w:pPr>
              <w:pBdr>
                <w:top w:val="nil"/>
                <w:left w:val="nil"/>
                <w:bottom w:val="nil"/>
                <w:right w:val="nil"/>
                <w:between w:val="nil"/>
              </w:pBdr>
              <w:rPr>
                <w:rFonts w:ascii="StobiSerif Regular" w:eastAsia="StobiSerif Regular" w:hAnsi="StobiSerif Regular" w:cs="StobiSerif Regular"/>
                <w:color w:val="000000"/>
              </w:rPr>
            </w:pPr>
            <w:r w:rsidRPr="00141516">
              <w:rPr>
                <w:rFonts w:ascii="StobiSerif Regular" w:eastAsia="StobiSerif Regular" w:hAnsi="StobiSerif Regular" w:cs="StobiSerif Regular"/>
                <w:color w:val="000000"/>
              </w:rPr>
              <w:t>Albania</w:t>
            </w:r>
          </w:p>
        </w:tc>
      </w:tr>
    </w:tbl>
    <w:p w14:paraId="00000029" w14:textId="77777777" w:rsidR="00C3271E" w:rsidRPr="00141516" w:rsidRDefault="00C3271E">
      <w:pPr>
        <w:pBdr>
          <w:top w:val="nil"/>
          <w:left w:val="nil"/>
          <w:bottom w:val="nil"/>
          <w:right w:val="nil"/>
          <w:between w:val="nil"/>
        </w:pBdr>
        <w:spacing w:after="0" w:line="240" w:lineRule="auto"/>
        <w:rPr>
          <w:rFonts w:ascii="StobiSerif Regular" w:eastAsia="StobiSerif Regular" w:hAnsi="StobiSerif Regular" w:cs="StobiSerif Regular"/>
          <w:color w:val="000000"/>
        </w:rPr>
      </w:pPr>
    </w:p>
    <w:p w14:paraId="0000002A" w14:textId="77777777" w:rsidR="00C3271E" w:rsidRPr="00141516" w:rsidRDefault="00130B20">
      <w:pPr>
        <w:pBdr>
          <w:top w:val="nil"/>
          <w:left w:val="nil"/>
          <w:bottom w:val="nil"/>
          <w:right w:val="nil"/>
          <w:between w:val="nil"/>
        </w:pBdr>
        <w:spacing w:after="0" w:line="240" w:lineRule="auto"/>
        <w:jc w:val="both"/>
        <w:rPr>
          <w:rFonts w:ascii="StobiSerif Regular" w:eastAsia="StobiSerif Regular" w:hAnsi="StobiSerif Regular" w:cs="StobiSerif Regular"/>
          <w:color w:val="000000"/>
        </w:rPr>
      </w:pPr>
      <w:r w:rsidRPr="00141516">
        <w:rPr>
          <w:rFonts w:ascii="StobiSerif Regular" w:eastAsia="StobiSerif Regular" w:hAnsi="StobiSerif Regular" w:cs="StobiSerif Regular"/>
          <w:color w:val="000000"/>
        </w:rPr>
        <w:t>Designated PCs in the five candidate/potential candidate countries need technical support to implement the EUSAIR Action Plan with the fellow PCs of the EU Member States, which already benefit from support for this purpose provided by the EUSAIR Facility Point strategic project.</w:t>
      </w:r>
    </w:p>
    <w:p w14:paraId="0000002B" w14:textId="77777777" w:rsidR="00C3271E" w:rsidRPr="00141516" w:rsidRDefault="00C3271E">
      <w:pPr>
        <w:pBdr>
          <w:top w:val="nil"/>
          <w:left w:val="nil"/>
          <w:bottom w:val="nil"/>
          <w:right w:val="nil"/>
          <w:between w:val="nil"/>
        </w:pBdr>
        <w:spacing w:after="0" w:line="240" w:lineRule="auto"/>
        <w:jc w:val="both"/>
        <w:rPr>
          <w:rFonts w:ascii="StobiSerif Regular" w:eastAsia="StobiSerif Regular" w:hAnsi="StobiSerif Regular" w:cs="StobiSerif Regular"/>
          <w:color w:val="000000"/>
        </w:rPr>
      </w:pPr>
    </w:p>
    <w:p w14:paraId="0000002C" w14:textId="77777777" w:rsidR="00C3271E" w:rsidRPr="00141516" w:rsidRDefault="00130B20">
      <w:pPr>
        <w:numPr>
          <w:ilvl w:val="0"/>
          <w:numId w:val="2"/>
        </w:numPr>
        <w:pBdr>
          <w:top w:val="nil"/>
          <w:left w:val="nil"/>
          <w:bottom w:val="nil"/>
          <w:right w:val="nil"/>
          <w:between w:val="nil"/>
        </w:pBdr>
        <w:spacing w:after="0" w:line="240" w:lineRule="auto"/>
        <w:ind w:left="0"/>
        <w:jc w:val="both"/>
        <w:rPr>
          <w:rFonts w:ascii="StobiSerif Regular" w:eastAsia="StobiSerif Regular" w:hAnsi="StobiSerif Regular" w:cs="StobiSerif Regular"/>
          <w:b/>
          <w:color w:val="000000"/>
        </w:rPr>
      </w:pPr>
      <w:r w:rsidRPr="00141516">
        <w:rPr>
          <w:rFonts w:ascii="StobiSerif Regular" w:eastAsia="StobiSerif Regular" w:hAnsi="StobiSerif Regular" w:cs="StobiSerif Regular"/>
          <w:b/>
          <w:color w:val="000000"/>
        </w:rPr>
        <w:t xml:space="preserve">REQUIREMENTS FOR THE EXPERTS  </w:t>
      </w:r>
    </w:p>
    <w:p w14:paraId="3FC570B3" w14:textId="547FD236" w:rsidR="003534E6" w:rsidRPr="00141516" w:rsidRDefault="003534E6" w:rsidP="00264BEE">
      <w:pPr>
        <w:numPr>
          <w:ilvl w:val="0"/>
          <w:numId w:val="1"/>
        </w:numPr>
        <w:pBdr>
          <w:top w:val="nil"/>
          <w:left w:val="nil"/>
          <w:bottom w:val="nil"/>
          <w:right w:val="nil"/>
          <w:between w:val="nil"/>
        </w:pBdr>
        <w:spacing w:after="0" w:line="240" w:lineRule="auto"/>
        <w:ind w:left="540"/>
        <w:jc w:val="both"/>
        <w:rPr>
          <w:rFonts w:ascii="StobiSerif Regular" w:eastAsia="StobiSerif Regular" w:hAnsi="StobiSerif Regular" w:cs="StobiSerif Regular"/>
          <w:color w:val="000000"/>
        </w:rPr>
      </w:pPr>
      <w:r w:rsidRPr="00141516">
        <w:rPr>
          <w:rFonts w:ascii="StobiSerif Regular" w:hAnsi="StobiSerif Regular"/>
        </w:rPr>
        <w:t>Bachelor Degree</w:t>
      </w:r>
      <w:r w:rsidR="00264BEE" w:rsidRPr="00141516">
        <w:rPr>
          <w:rFonts w:ascii="StobiSerif Regular" w:hAnsi="StobiSerif Regular"/>
        </w:rPr>
        <w:t>, preferably but not exclusively in</w:t>
      </w:r>
      <w:r w:rsidRPr="00141516">
        <w:rPr>
          <w:rFonts w:ascii="StobiSerif Regular" w:hAnsi="StobiSerif Regular"/>
        </w:rPr>
        <w:t xml:space="preserve"> the thematic areas relevant to the contract</w:t>
      </w:r>
      <w:r w:rsidR="00264BEE" w:rsidRPr="00141516">
        <w:rPr>
          <w:rFonts w:ascii="StobiSerif Regular" w:hAnsi="StobiSerif Regular"/>
        </w:rPr>
        <w:t>;</w:t>
      </w:r>
    </w:p>
    <w:p w14:paraId="0000002E" w14:textId="029BFFE5" w:rsidR="00C3271E" w:rsidRPr="00141516" w:rsidRDefault="00130B20">
      <w:pPr>
        <w:numPr>
          <w:ilvl w:val="0"/>
          <w:numId w:val="1"/>
        </w:numPr>
        <w:pBdr>
          <w:top w:val="nil"/>
          <w:left w:val="nil"/>
          <w:bottom w:val="nil"/>
          <w:right w:val="nil"/>
          <w:between w:val="nil"/>
        </w:pBdr>
        <w:spacing w:after="0" w:line="240" w:lineRule="auto"/>
        <w:ind w:left="540"/>
        <w:jc w:val="both"/>
        <w:rPr>
          <w:rFonts w:ascii="StobiSerif Regular" w:eastAsia="StobiSerif Regular" w:hAnsi="StobiSerif Regular" w:cs="StobiSerif Regular"/>
          <w:color w:val="000000"/>
        </w:rPr>
      </w:pPr>
      <w:r w:rsidRPr="00141516">
        <w:rPr>
          <w:rFonts w:ascii="StobiSerif Regular" w:eastAsia="StobiSerif Regular" w:hAnsi="StobiSerif Regular" w:cs="StobiSerif Regular"/>
          <w:color w:val="000000"/>
        </w:rPr>
        <w:t xml:space="preserve">Minimum 5 years of proved work experience in international cooperation in the </w:t>
      </w:r>
      <w:r w:rsidR="00E5411E" w:rsidRPr="00141516">
        <w:rPr>
          <w:rFonts w:ascii="StobiSerif Regular" w:eastAsia="StobiSerif Regular" w:hAnsi="StobiSerif Regular" w:cs="StobiSerif Regular"/>
          <w:color w:val="000000"/>
        </w:rPr>
        <w:t xml:space="preserve">Region in the </w:t>
      </w:r>
      <w:r w:rsidRPr="00141516">
        <w:rPr>
          <w:rFonts w:ascii="StobiSerif Regular" w:eastAsia="StobiSerif Regular" w:hAnsi="StobiSerif Regular" w:cs="StobiSerif Regular"/>
          <w:color w:val="000000"/>
        </w:rPr>
        <w:t xml:space="preserve">field of </w:t>
      </w:r>
      <w:r w:rsidR="003531B2" w:rsidRPr="00141516">
        <w:rPr>
          <w:rFonts w:ascii="StobiSerif Regular" w:eastAsia="StobiSerif Regular" w:hAnsi="StobiSerif Regular" w:cs="StobiSerif Regular"/>
          <w:color w:val="000000"/>
        </w:rPr>
        <w:t xml:space="preserve">land </w:t>
      </w:r>
      <w:r w:rsidRPr="00141516">
        <w:rPr>
          <w:rFonts w:ascii="StobiSerif Regular" w:eastAsia="StobiSerif Regular" w:hAnsi="StobiSerif Regular" w:cs="StobiSerif Regular"/>
          <w:color w:val="000000"/>
        </w:rPr>
        <w:t>transport;</w:t>
      </w:r>
    </w:p>
    <w:p w14:paraId="0000002F" w14:textId="77777777" w:rsidR="00C3271E" w:rsidRPr="00141516" w:rsidRDefault="00130B20">
      <w:pPr>
        <w:numPr>
          <w:ilvl w:val="0"/>
          <w:numId w:val="1"/>
        </w:numPr>
        <w:pBdr>
          <w:top w:val="nil"/>
          <w:left w:val="nil"/>
          <w:bottom w:val="nil"/>
          <w:right w:val="nil"/>
          <w:between w:val="nil"/>
        </w:pBdr>
        <w:spacing w:after="0" w:line="240" w:lineRule="auto"/>
        <w:ind w:left="540"/>
        <w:jc w:val="both"/>
        <w:rPr>
          <w:rFonts w:ascii="StobiSerif Regular" w:eastAsia="StobiSerif Regular" w:hAnsi="StobiSerif Regular" w:cs="StobiSerif Regular"/>
          <w:color w:val="000000"/>
        </w:rPr>
      </w:pPr>
      <w:r w:rsidRPr="00141516">
        <w:rPr>
          <w:rFonts w:ascii="StobiSerif Regular" w:eastAsia="StobiSerif Regular" w:hAnsi="StobiSerif Regular" w:cs="StobiSerif Regular"/>
          <w:color w:val="000000"/>
        </w:rPr>
        <w:t>Basic understanding of the macro-regional cooperation concept;</w:t>
      </w:r>
    </w:p>
    <w:p w14:paraId="00000030" w14:textId="77777777" w:rsidR="00C3271E" w:rsidRPr="00141516" w:rsidRDefault="00130B20">
      <w:pPr>
        <w:numPr>
          <w:ilvl w:val="0"/>
          <w:numId w:val="1"/>
        </w:numPr>
        <w:pBdr>
          <w:top w:val="nil"/>
          <w:left w:val="nil"/>
          <w:bottom w:val="nil"/>
          <w:right w:val="nil"/>
          <w:between w:val="nil"/>
        </w:pBdr>
        <w:spacing w:after="0" w:line="240" w:lineRule="auto"/>
        <w:ind w:left="540"/>
        <w:jc w:val="both"/>
        <w:rPr>
          <w:rFonts w:ascii="StobiSerif Regular" w:eastAsia="StobiSerif Regular" w:hAnsi="StobiSerif Regular" w:cs="StobiSerif Regular"/>
          <w:color w:val="000000"/>
        </w:rPr>
      </w:pPr>
      <w:r w:rsidRPr="00141516">
        <w:rPr>
          <w:rFonts w:ascii="StobiSerif Regular" w:eastAsia="StobiSerif Regular" w:hAnsi="StobiSerif Regular" w:cs="StobiSerif Regular"/>
          <w:color w:val="000000"/>
        </w:rPr>
        <w:t xml:space="preserve">Basic understanding of the objectives and governance structure of EUSAIR; </w:t>
      </w:r>
    </w:p>
    <w:p w14:paraId="00000031" w14:textId="77777777" w:rsidR="00C3271E" w:rsidRPr="00141516" w:rsidRDefault="00130B20">
      <w:pPr>
        <w:numPr>
          <w:ilvl w:val="0"/>
          <w:numId w:val="1"/>
        </w:numPr>
        <w:pBdr>
          <w:top w:val="nil"/>
          <w:left w:val="nil"/>
          <w:bottom w:val="nil"/>
          <w:right w:val="nil"/>
          <w:between w:val="nil"/>
        </w:pBdr>
        <w:spacing w:after="0" w:line="240" w:lineRule="auto"/>
        <w:ind w:left="540"/>
        <w:jc w:val="both"/>
        <w:rPr>
          <w:rFonts w:ascii="StobiSerif Regular" w:eastAsia="StobiSerif Regular" w:hAnsi="StobiSerif Regular" w:cs="StobiSerif Regular"/>
          <w:color w:val="000000"/>
        </w:rPr>
      </w:pPr>
      <w:r w:rsidRPr="00141516">
        <w:rPr>
          <w:rFonts w:ascii="StobiSerif Regular" w:eastAsia="StobiSerif Regular" w:hAnsi="StobiSerif Regular" w:cs="StobiSerif Regular"/>
          <w:color w:val="000000"/>
        </w:rPr>
        <w:t>Proven work experience in or with central government institutions;</w:t>
      </w:r>
    </w:p>
    <w:p w14:paraId="00000032" w14:textId="77777777" w:rsidR="00C3271E" w:rsidRPr="00141516" w:rsidRDefault="00130B20">
      <w:pPr>
        <w:numPr>
          <w:ilvl w:val="0"/>
          <w:numId w:val="1"/>
        </w:numPr>
        <w:pBdr>
          <w:top w:val="nil"/>
          <w:left w:val="nil"/>
          <w:bottom w:val="nil"/>
          <w:right w:val="nil"/>
          <w:between w:val="nil"/>
        </w:pBdr>
        <w:spacing w:after="0" w:line="240" w:lineRule="auto"/>
        <w:ind w:left="540"/>
        <w:jc w:val="both"/>
        <w:rPr>
          <w:rFonts w:ascii="StobiSerif Regular" w:eastAsia="StobiSerif Regular" w:hAnsi="StobiSerif Regular" w:cs="StobiSerif Regular"/>
          <w:color w:val="000000"/>
        </w:rPr>
      </w:pPr>
      <w:r w:rsidRPr="00141516">
        <w:rPr>
          <w:rFonts w:ascii="StobiSerif Regular" w:eastAsia="StobiSerif Regular" w:hAnsi="StobiSerif Regular" w:cs="StobiSerif Regular"/>
          <w:color w:val="000000"/>
        </w:rPr>
        <w:t>Ability to analyse documents and draw conclusions;</w:t>
      </w:r>
    </w:p>
    <w:p w14:paraId="00000033" w14:textId="77777777" w:rsidR="00C3271E" w:rsidRPr="00141516" w:rsidRDefault="00130B20">
      <w:pPr>
        <w:numPr>
          <w:ilvl w:val="0"/>
          <w:numId w:val="1"/>
        </w:numPr>
        <w:pBdr>
          <w:top w:val="nil"/>
          <w:left w:val="nil"/>
          <w:bottom w:val="nil"/>
          <w:right w:val="nil"/>
          <w:between w:val="nil"/>
        </w:pBdr>
        <w:spacing w:after="0" w:line="240" w:lineRule="auto"/>
        <w:ind w:left="540"/>
        <w:jc w:val="both"/>
        <w:rPr>
          <w:rFonts w:ascii="StobiSerif Regular" w:eastAsia="StobiSerif Regular" w:hAnsi="StobiSerif Regular" w:cs="StobiSerif Regular"/>
          <w:color w:val="000000"/>
        </w:rPr>
      </w:pPr>
      <w:r w:rsidRPr="00141516">
        <w:rPr>
          <w:rFonts w:ascii="StobiSerif Regular" w:eastAsia="StobiSerif Regular" w:hAnsi="StobiSerif Regular" w:cs="StobiSerif Regular"/>
          <w:color w:val="000000"/>
        </w:rPr>
        <w:t>Ability to gather and analyse statistical information;</w:t>
      </w:r>
    </w:p>
    <w:p w14:paraId="00000034" w14:textId="77777777" w:rsidR="00C3271E" w:rsidRPr="00141516" w:rsidRDefault="00130B20">
      <w:pPr>
        <w:numPr>
          <w:ilvl w:val="0"/>
          <w:numId w:val="1"/>
        </w:numPr>
        <w:pBdr>
          <w:top w:val="nil"/>
          <w:left w:val="nil"/>
          <w:bottom w:val="nil"/>
          <w:right w:val="nil"/>
          <w:between w:val="nil"/>
        </w:pBdr>
        <w:spacing w:after="0" w:line="240" w:lineRule="auto"/>
        <w:ind w:left="540"/>
        <w:jc w:val="both"/>
        <w:rPr>
          <w:rFonts w:ascii="StobiSerif Regular" w:eastAsia="StobiSerif Regular" w:hAnsi="StobiSerif Regular" w:cs="StobiSerif Regular"/>
          <w:color w:val="000000"/>
        </w:rPr>
      </w:pPr>
      <w:r w:rsidRPr="00141516">
        <w:rPr>
          <w:rFonts w:ascii="StobiSerif Regular" w:eastAsia="StobiSerif Regular" w:hAnsi="StobiSerif Regular" w:cs="StobiSerif Regular"/>
          <w:color w:val="000000"/>
        </w:rPr>
        <w:t>Knowledge of monitoring and evaluation systems;</w:t>
      </w:r>
    </w:p>
    <w:p w14:paraId="00000035" w14:textId="362FAA37" w:rsidR="00C3271E" w:rsidRPr="00141516" w:rsidRDefault="00851508">
      <w:pPr>
        <w:numPr>
          <w:ilvl w:val="0"/>
          <w:numId w:val="1"/>
        </w:numPr>
        <w:pBdr>
          <w:top w:val="nil"/>
          <w:left w:val="nil"/>
          <w:bottom w:val="nil"/>
          <w:right w:val="nil"/>
          <w:between w:val="nil"/>
        </w:pBdr>
        <w:spacing w:after="0" w:line="240" w:lineRule="auto"/>
        <w:ind w:left="540"/>
        <w:jc w:val="both"/>
        <w:rPr>
          <w:rFonts w:ascii="StobiSerif Regular" w:eastAsia="StobiSerif Regular" w:hAnsi="StobiSerif Regular" w:cs="StobiSerif Regular"/>
          <w:color w:val="000000"/>
        </w:rPr>
      </w:pPr>
      <w:r w:rsidRPr="00141516">
        <w:rPr>
          <w:rFonts w:ascii="StobiSerif Regular" w:eastAsia="StobiSerif Regular" w:hAnsi="StobiSerif Regular" w:cs="StobiSerif Regular"/>
          <w:color w:val="000000"/>
        </w:rPr>
        <w:t>Good</w:t>
      </w:r>
      <w:r w:rsidR="00130B20" w:rsidRPr="00141516">
        <w:rPr>
          <w:rFonts w:ascii="StobiSerif Regular" w:eastAsia="StobiSerif Regular" w:hAnsi="StobiSerif Regular" w:cs="StobiSerif Regular"/>
          <w:color w:val="000000"/>
        </w:rPr>
        <w:t xml:space="preserve"> organisational skills; </w:t>
      </w:r>
    </w:p>
    <w:p w14:paraId="00000036" w14:textId="77777777" w:rsidR="00C3271E" w:rsidRPr="00141516" w:rsidRDefault="00130B20">
      <w:pPr>
        <w:numPr>
          <w:ilvl w:val="0"/>
          <w:numId w:val="1"/>
        </w:numPr>
        <w:pBdr>
          <w:top w:val="nil"/>
          <w:left w:val="nil"/>
          <w:bottom w:val="nil"/>
          <w:right w:val="nil"/>
          <w:between w:val="nil"/>
        </w:pBdr>
        <w:spacing w:after="0" w:line="240" w:lineRule="auto"/>
        <w:ind w:left="540"/>
        <w:jc w:val="both"/>
        <w:rPr>
          <w:rFonts w:ascii="StobiSerif Regular" w:eastAsia="StobiSerif Regular" w:hAnsi="StobiSerif Regular" w:cs="StobiSerif Regular"/>
          <w:color w:val="000000"/>
        </w:rPr>
      </w:pPr>
      <w:r w:rsidRPr="00141516">
        <w:rPr>
          <w:rFonts w:ascii="StobiSerif Regular" w:eastAsia="StobiSerif Regular" w:hAnsi="StobiSerif Regular" w:cs="StobiSerif Regular"/>
          <w:color w:val="000000"/>
        </w:rPr>
        <w:t xml:space="preserve">Fluency in oral and written English language, basic knowledge of Macedonian language will be considered an advantage; </w:t>
      </w:r>
    </w:p>
    <w:p w14:paraId="00000037" w14:textId="77777777" w:rsidR="00C3271E" w:rsidRPr="00141516" w:rsidRDefault="00130B20">
      <w:pPr>
        <w:numPr>
          <w:ilvl w:val="0"/>
          <w:numId w:val="1"/>
        </w:numPr>
        <w:pBdr>
          <w:top w:val="nil"/>
          <w:left w:val="nil"/>
          <w:bottom w:val="nil"/>
          <w:right w:val="nil"/>
          <w:between w:val="nil"/>
        </w:pBdr>
        <w:spacing w:after="0" w:line="240" w:lineRule="auto"/>
        <w:ind w:left="540"/>
        <w:jc w:val="both"/>
        <w:rPr>
          <w:rFonts w:ascii="StobiSerif Regular" w:eastAsia="StobiSerif Regular" w:hAnsi="StobiSerif Regular" w:cs="StobiSerif Regular"/>
          <w:color w:val="000000"/>
        </w:rPr>
      </w:pPr>
      <w:r w:rsidRPr="00141516">
        <w:rPr>
          <w:rFonts w:ascii="StobiSerif Regular" w:eastAsia="StobiSerif Regular" w:hAnsi="StobiSerif Regular" w:cs="StobiSerif Regular"/>
          <w:color w:val="000000"/>
        </w:rPr>
        <w:t>Computer literacy (MS Office), ability to use data bases and data search systems;</w:t>
      </w:r>
    </w:p>
    <w:p w14:paraId="00000038" w14:textId="77777777" w:rsidR="00C3271E" w:rsidRPr="00141516" w:rsidRDefault="00130B20">
      <w:pPr>
        <w:numPr>
          <w:ilvl w:val="0"/>
          <w:numId w:val="1"/>
        </w:numPr>
        <w:pBdr>
          <w:top w:val="nil"/>
          <w:left w:val="nil"/>
          <w:bottom w:val="nil"/>
          <w:right w:val="nil"/>
          <w:between w:val="nil"/>
        </w:pBdr>
        <w:spacing w:after="0" w:line="240" w:lineRule="auto"/>
        <w:ind w:left="540"/>
        <w:jc w:val="both"/>
        <w:rPr>
          <w:rFonts w:ascii="StobiSerif Regular" w:eastAsia="StobiSerif Regular" w:hAnsi="StobiSerif Regular" w:cs="StobiSerif Regular"/>
          <w:color w:val="000000"/>
        </w:rPr>
      </w:pPr>
      <w:r w:rsidRPr="00141516">
        <w:rPr>
          <w:rFonts w:ascii="StobiSerif Regular" w:eastAsia="StobiSerif Regular" w:hAnsi="StobiSerif Regular" w:cs="StobiSerif Regular"/>
          <w:color w:val="000000"/>
        </w:rPr>
        <w:t>Ability to work in an international environment.</w:t>
      </w:r>
    </w:p>
    <w:p w14:paraId="00000039" w14:textId="77777777" w:rsidR="00C3271E" w:rsidRPr="00141516" w:rsidRDefault="00C3271E">
      <w:pPr>
        <w:pBdr>
          <w:top w:val="nil"/>
          <w:left w:val="nil"/>
          <w:bottom w:val="nil"/>
          <w:right w:val="nil"/>
          <w:between w:val="nil"/>
        </w:pBdr>
        <w:spacing w:after="0" w:line="240" w:lineRule="auto"/>
        <w:rPr>
          <w:rFonts w:ascii="StobiSerif Regular" w:eastAsia="StobiSerif Regular" w:hAnsi="StobiSerif Regular" w:cs="StobiSerif Regular"/>
          <w:color w:val="000000"/>
        </w:rPr>
      </w:pPr>
    </w:p>
    <w:p w14:paraId="0000003A" w14:textId="77777777" w:rsidR="00C3271E" w:rsidRPr="00141516" w:rsidRDefault="00130B20">
      <w:pPr>
        <w:numPr>
          <w:ilvl w:val="0"/>
          <w:numId w:val="2"/>
        </w:numPr>
        <w:pBdr>
          <w:top w:val="nil"/>
          <w:left w:val="nil"/>
          <w:bottom w:val="nil"/>
          <w:right w:val="nil"/>
          <w:between w:val="nil"/>
        </w:pBdr>
        <w:spacing w:after="0" w:line="240" w:lineRule="auto"/>
        <w:ind w:left="0"/>
        <w:rPr>
          <w:rFonts w:ascii="StobiSerif Regular" w:eastAsia="StobiSerif Regular" w:hAnsi="StobiSerif Regular" w:cs="StobiSerif Regular"/>
          <w:b/>
          <w:color w:val="000000"/>
        </w:rPr>
      </w:pPr>
      <w:r w:rsidRPr="00141516">
        <w:rPr>
          <w:rFonts w:ascii="StobiSerif Regular" w:eastAsia="StobiSerif Regular" w:hAnsi="StobiSerif Regular" w:cs="StobiSerif Regular"/>
          <w:b/>
          <w:color w:val="000000"/>
        </w:rPr>
        <w:t>ACTIVITIES</w:t>
      </w:r>
    </w:p>
    <w:p w14:paraId="0000003B" w14:textId="24BAA0AE" w:rsidR="00C3271E" w:rsidRPr="00141516" w:rsidRDefault="00645053">
      <w:pPr>
        <w:pBdr>
          <w:top w:val="nil"/>
          <w:left w:val="nil"/>
          <w:bottom w:val="nil"/>
          <w:right w:val="nil"/>
          <w:between w:val="nil"/>
        </w:pBdr>
        <w:spacing w:after="0" w:line="240" w:lineRule="auto"/>
        <w:jc w:val="both"/>
        <w:rPr>
          <w:rFonts w:ascii="StobiSerif Regular" w:eastAsia="StobiSerif Regular" w:hAnsi="StobiSerif Regular" w:cs="StobiSerif Regular"/>
          <w:color w:val="000000"/>
        </w:rPr>
      </w:pPr>
      <w:r>
        <w:rPr>
          <w:rFonts w:ascii="StobiSerif Regular" w:eastAsia="StobiSerif Regular" w:hAnsi="StobiSerif Regular" w:cs="StobiSerif Regular"/>
          <w:color w:val="000000"/>
          <w:lang w:val="en-US"/>
        </w:rPr>
        <w:t>The t</w:t>
      </w:r>
      <w:r w:rsidR="003916FC">
        <w:rPr>
          <w:rFonts w:ascii="StobiSerif Regular" w:eastAsia="StobiSerif Regular" w:hAnsi="StobiSerif Regular" w:cs="StobiSerif Regular"/>
          <w:color w:val="000000"/>
        </w:rPr>
        <w:t>hematic expert</w:t>
      </w:r>
      <w:r w:rsidR="00130B20" w:rsidRPr="00141516">
        <w:rPr>
          <w:rFonts w:ascii="StobiSerif Regular" w:eastAsia="StobiSerif Regular" w:hAnsi="StobiSerif Regular" w:cs="StobiSerif Regular"/>
          <w:color w:val="000000"/>
        </w:rPr>
        <w:t xml:space="preserve"> will be contracted to wo</w:t>
      </w:r>
      <w:r w:rsidR="003916FC">
        <w:rPr>
          <w:rFonts w:ascii="StobiSerif Regular" w:eastAsia="StobiSerif Regular" w:hAnsi="StobiSerif Regular" w:cs="StobiSerif Regular"/>
          <w:color w:val="000000"/>
        </w:rPr>
        <w:t>rk along with the respective PC</w:t>
      </w:r>
      <w:r w:rsidR="00130B20" w:rsidRPr="00141516">
        <w:rPr>
          <w:rFonts w:ascii="StobiSerif Regular" w:eastAsia="StobiSerif Regular" w:hAnsi="StobiSerif Regular" w:cs="StobiSerif Regular"/>
          <w:color w:val="000000"/>
        </w:rPr>
        <w:t>. This will allow PCs from the Enlargement countries to work on the same footing as their colleagues in t</w:t>
      </w:r>
      <w:r w:rsidR="003916FC">
        <w:rPr>
          <w:rFonts w:ascii="StobiSerif Regular" w:eastAsia="StobiSerif Regular" w:hAnsi="StobiSerif Regular" w:cs="StobiSerif Regular"/>
          <w:color w:val="000000"/>
        </w:rPr>
        <w:t>he EU Member States. The expert</w:t>
      </w:r>
      <w:r w:rsidR="00130B20" w:rsidRPr="00141516">
        <w:rPr>
          <w:rFonts w:ascii="StobiSerif Regular" w:eastAsia="StobiSerif Regular" w:hAnsi="StobiSerif Regular" w:cs="StobiSerif Regular"/>
          <w:color w:val="000000"/>
        </w:rPr>
        <w:t xml:space="preserve"> will work </w:t>
      </w:r>
      <w:r w:rsidR="00130B20" w:rsidRPr="00141516">
        <w:rPr>
          <w:rFonts w:ascii="StobiSerif Regular" w:eastAsia="StobiSerif Regular" w:hAnsi="StobiSerif Regular" w:cs="StobiSerif Regular"/>
          <w:b/>
          <w:color w:val="000000"/>
        </w:rPr>
        <w:t xml:space="preserve">for the functions established under these </w:t>
      </w:r>
      <w:proofErr w:type="spellStart"/>
      <w:r w:rsidR="00130B20" w:rsidRPr="00141516">
        <w:rPr>
          <w:rFonts w:ascii="StobiSerif Regular" w:eastAsia="StobiSerif Regular" w:hAnsi="StobiSerif Regular" w:cs="StobiSerif Regular"/>
          <w:b/>
          <w:color w:val="000000"/>
        </w:rPr>
        <w:t>ToR</w:t>
      </w:r>
      <w:proofErr w:type="spellEnd"/>
      <w:r w:rsidR="00130B20" w:rsidRPr="00141516">
        <w:rPr>
          <w:rFonts w:ascii="StobiSerif Regular" w:eastAsia="StobiSerif Regular" w:hAnsi="StobiSerif Regular" w:cs="StobiSerif Regular"/>
          <w:b/>
          <w:color w:val="000000"/>
        </w:rPr>
        <w:t xml:space="preserve"> </w:t>
      </w:r>
      <w:r w:rsidR="00130B20" w:rsidRPr="00141516">
        <w:rPr>
          <w:rFonts w:ascii="StobiSerif Regular" w:eastAsia="StobiSerif Regular" w:hAnsi="StobiSerif Regular" w:cs="StobiSerif Regular"/>
          <w:color w:val="000000"/>
        </w:rPr>
        <w:t>and</w:t>
      </w:r>
      <w:r w:rsidR="00130B20" w:rsidRPr="00141516">
        <w:rPr>
          <w:rFonts w:ascii="StobiSerif Regular" w:eastAsia="StobiSerif Regular" w:hAnsi="StobiSerif Regular" w:cs="StobiSerif Regular"/>
          <w:b/>
          <w:color w:val="000000"/>
        </w:rPr>
        <w:t xml:space="preserve"> under </w:t>
      </w:r>
      <w:r w:rsidR="003916FC">
        <w:rPr>
          <w:rFonts w:ascii="StobiSerif Regular" w:eastAsia="StobiSerif Regular" w:hAnsi="StobiSerif Regular" w:cs="StobiSerif Regular"/>
          <w:b/>
          <w:color w:val="000000"/>
        </w:rPr>
        <w:t>the guidance of the relevant PC</w:t>
      </w:r>
      <w:r w:rsidR="00130B20" w:rsidRPr="00141516">
        <w:rPr>
          <w:rFonts w:ascii="StobiSerif Regular" w:eastAsia="StobiSerif Regular" w:hAnsi="StobiSerif Regular" w:cs="StobiSerif Regular"/>
          <w:color w:val="000000"/>
        </w:rPr>
        <w:t>.</w:t>
      </w:r>
    </w:p>
    <w:p w14:paraId="0000003C" w14:textId="77777777" w:rsidR="00C3271E" w:rsidRPr="00141516" w:rsidRDefault="00C3271E">
      <w:pPr>
        <w:pBdr>
          <w:top w:val="nil"/>
          <w:left w:val="nil"/>
          <w:bottom w:val="nil"/>
          <w:right w:val="nil"/>
          <w:between w:val="nil"/>
        </w:pBdr>
        <w:spacing w:after="0" w:line="240" w:lineRule="auto"/>
        <w:jc w:val="both"/>
        <w:rPr>
          <w:rFonts w:ascii="StobiSerif Regular" w:eastAsia="StobiSerif Regular" w:hAnsi="StobiSerif Regular" w:cs="StobiSerif Regular"/>
          <w:color w:val="000000"/>
        </w:rPr>
      </w:pPr>
    </w:p>
    <w:p w14:paraId="0000003D" w14:textId="2CAFFDA0" w:rsidR="00C3271E" w:rsidRPr="00141516" w:rsidRDefault="00130B20">
      <w:pPr>
        <w:pBdr>
          <w:top w:val="nil"/>
          <w:left w:val="nil"/>
          <w:bottom w:val="nil"/>
          <w:right w:val="nil"/>
          <w:between w:val="nil"/>
        </w:pBdr>
        <w:spacing w:after="0" w:line="240" w:lineRule="auto"/>
        <w:jc w:val="both"/>
        <w:rPr>
          <w:rFonts w:ascii="StobiSerif Regular" w:eastAsia="StobiSerif Regular" w:hAnsi="StobiSerif Regular" w:cs="StobiSerif Regular"/>
          <w:color w:val="000000"/>
        </w:rPr>
      </w:pPr>
      <w:r w:rsidRPr="00141516">
        <w:rPr>
          <w:rFonts w:ascii="StobiSerif Regular" w:eastAsia="StobiSerif Regular" w:hAnsi="StobiSerif Regular" w:cs="StobiSerif Regular"/>
          <w:color w:val="000000"/>
        </w:rPr>
        <w:t xml:space="preserve">Considering the necessity of communication and cooperation with the PCs on daily basis, the expert will be </w:t>
      </w:r>
      <w:r w:rsidRPr="00141516">
        <w:rPr>
          <w:rFonts w:ascii="StobiSerif Regular" w:eastAsia="StobiSerif Regular" w:hAnsi="StobiSerif Regular" w:cs="StobiSerif Regular"/>
          <w:b/>
          <w:color w:val="000000"/>
        </w:rPr>
        <w:t>hosted by the same administration of the respective PC, i.e. the Ministr</w:t>
      </w:r>
      <w:r w:rsidR="005A14FD">
        <w:rPr>
          <w:rFonts w:ascii="StobiSerif Regular" w:eastAsia="StobiSerif Regular" w:hAnsi="StobiSerif Regular" w:cs="StobiSerif Regular"/>
          <w:b/>
          <w:color w:val="000000"/>
        </w:rPr>
        <w:t>y of Transport and Communication</w:t>
      </w:r>
      <w:r w:rsidRPr="00141516">
        <w:rPr>
          <w:rFonts w:ascii="StobiSerif Regular" w:eastAsia="StobiSerif Regular" w:hAnsi="StobiSerif Regular" w:cs="StobiSerif Regular"/>
          <w:b/>
          <w:color w:val="000000"/>
        </w:rPr>
        <w:t>.</w:t>
      </w:r>
      <w:r w:rsidRPr="00141516">
        <w:rPr>
          <w:rFonts w:ascii="StobiSerif Regular" w:eastAsia="StobiSerif Regular" w:hAnsi="StobiSerif Regular" w:cs="StobiSerif Regular"/>
          <w:color w:val="000000"/>
        </w:rPr>
        <w:t xml:space="preserve"> He/she will</w:t>
      </w:r>
      <w:r w:rsidR="005A14FD">
        <w:rPr>
          <w:rFonts w:ascii="StobiSerif Regular" w:eastAsia="StobiSerif Regular" w:hAnsi="StobiSerif Regular" w:cs="StobiSerif Regular"/>
          <w:color w:val="000000"/>
        </w:rPr>
        <w:t xml:space="preserve"> work side by side with the PC </w:t>
      </w:r>
      <w:r w:rsidRPr="00141516">
        <w:rPr>
          <w:rFonts w:ascii="StobiSerif Regular" w:eastAsia="StobiSerif Regular" w:hAnsi="StobiSerif Regular" w:cs="StobiSerif Regular"/>
          <w:color w:val="000000"/>
        </w:rPr>
        <w:t xml:space="preserve">and will have access to all relevant documentation.  </w:t>
      </w:r>
    </w:p>
    <w:p w14:paraId="0000003E" w14:textId="77777777" w:rsidR="00C3271E" w:rsidRPr="00141516" w:rsidRDefault="00C3271E">
      <w:pPr>
        <w:pBdr>
          <w:top w:val="nil"/>
          <w:left w:val="nil"/>
          <w:bottom w:val="nil"/>
          <w:right w:val="nil"/>
          <w:between w:val="nil"/>
        </w:pBdr>
        <w:spacing w:after="0" w:line="240" w:lineRule="auto"/>
        <w:jc w:val="both"/>
        <w:rPr>
          <w:rFonts w:ascii="StobiSerif Regular" w:eastAsia="StobiSerif Regular" w:hAnsi="StobiSerif Regular" w:cs="StobiSerif Regular"/>
          <w:color w:val="000000"/>
        </w:rPr>
      </w:pPr>
    </w:p>
    <w:p w14:paraId="0000003F" w14:textId="345FB279" w:rsidR="00C3271E" w:rsidRPr="00141516" w:rsidRDefault="00130B20">
      <w:pPr>
        <w:pBdr>
          <w:top w:val="nil"/>
          <w:left w:val="nil"/>
          <w:bottom w:val="nil"/>
          <w:right w:val="nil"/>
          <w:between w:val="nil"/>
        </w:pBdr>
        <w:spacing w:after="0" w:line="240" w:lineRule="auto"/>
        <w:jc w:val="both"/>
        <w:rPr>
          <w:rFonts w:ascii="StobiSerif Regular" w:eastAsia="StobiSerif Regular" w:hAnsi="StobiSerif Regular" w:cs="StobiSerif Regular"/>
          <w:color w:val="000000"/>
        </w:rPr>
      </w:pPr>
      <w:r w:rsidRPr="00141516">
        <w:rPr>
          <w:rFonts w:ascii="StobiSerif Regular" w:eastAsia="StobiSerif Regular" w:hAnsi="StobiSerif Regular" w:cs="StobiSerif Regular"/>
          <w:color w:val="000000"/>
        </w:rPr>
        <w:lastRenderedPageBreak/>
        <w:t>Under the guidance</w:t>
      </w:r>
      <w:r w:rsidR="005A14FD">
        <w:rPr>
          <w:rFonts w:ascii="StobiSerif Regular" w:eastAsia="StobiSerif Regular" w:hAnsi="StobiSerif Regular" w:cs="StobiSerif Regular"/>
          <w:color w:val="000000"/>
        </w:rPr>
        <w:t xml:space="preserve"> of the PC</w:t>
      </w:r>
      <w:r w:rsidRPr="00141516">
        <w:rPr>
          <w:rFonts w:ascii="StobiSerif Regular" w:eastAsia="StobiSerif Regular" w:hAnsi="StobiSerif Regular" w:cs="StobiSerif Regular"/>
          <w:color w:val="000000"/>
        </w:rPr>
        <w:t xml:space="preserve">, he/she will </w:t>
      </w:r>
      <w:r w:rsidRPr="00141516">
        <w:rPr>
          <w:rFonts w:ascii="StobiSerif Regular" w:eastAsia="StobiSerif Regular" w:hAnsi="StobiSerif Regular" w:cs="StobiSerif Regular"/>
          <w:b/>
          <w:color w:val="000000"/>
        </w:rPr>
        <w:t xml:space="preserve">assist and coordinate the activities of TSG members from the Enlargement countries </w:t>
      </w:r>
      <w:r w:rsidRPr="00141516">
        <w:rPr>
          <w:rFonts w:ascii="StobiSerif Regular" w:eastAsia="StobiSerif Regular" w:hAnsi="StobiSerif Regular" w:cs="StobiSerif Regular"/>
          <w:color w:val="000000"/>
        </w:rPr>
        <w:t xml:space="preserve">and will liaise with their fellow expert supporting the PCs from EU Member State in order to assure coherence and complementarity of their action. </w:t>
      </w:r>
    </w:p>
    <w:p w14:paraId="00000040" w14:textId="77777777" w:rsidR="00C3271E" w:rsidRPr="00141516" w:rsidRDefault="00C3271E">
      <w:pPr>
        <w:pBdr>
          <w:top w:val="nil"/>
          <w:left w:val="nil"/>
          <w:bottom w:val="nil"/>
          <w:right w:val="nil"/>
          <w:between w:val="nil"/>
        </w:pBdr>
        <w:spacing w:after="0" w:line="240" w:lineRule="auto"/>
        <w:jc w:val="both"/>
        <w:rPr>
          <w:rFonts w:ascii="StobiSerif Regular" w:eastAsia="StobiSerif Regular" w:hAnsi="StobiSerif Regular" w:cs="StobiSerif Regular"/>
          <w:color w:val="000000"/>
        </w:rPr>
      </w:pPr>
    </w:p>
    <w:p w14:paraId="00000041" w14:textId="23384967" w:rsidR="00C3271E" w:rsidRPr="00141516" w:rsidRDefault="00130B20">
      <w:pPr>
        <w:pBdr>
          <w:top w:val="nil"/>
          <w:left w:val="nil"/>
          <w:bottom w:val="nil"/>
          <w:right w:val="nil"/>
          <w:between w:val="nil"/>
        </w:pBdr>
        <w:spacing w:after="0" w:line="240" w:lineRule="auto"/>
        <w:jc w:val="both"/>
        <w:rPr>
          <w:rFonts w:ascii="StobiSerif Regular" w:eastAsia="StobiSerif Regular" w:hAnsi="StobiSerif Regular" w:cs="StobiSerif Regular"/>
          <w:color w:val="000000"/>
        </w:rPr>
      </w:pPr>
      <w:r w:rsidRPr="00141516">
        <w:rPr>
          <w:rFonts w:ascii="StobiSerif Regular" w:eastAsia="StobiSerif Regular" w:hAnsi="StobiSerif Regular" w:cs="StobiSerif Regular"/>
          <w:color w:val="000000"/>
        </w:rPr>
        <w:t xml:space="preserve">All this considered, </w:t>
      </w:r>
      <w:r w:rsidR="005A14FD">
        <w:rPr>
          <w:rFonts w:ascii="StobiSerif Regular" w:eastAsia="StobiSerif Regular" w:hAnsi="StobiSerif Regular" w:cs="StobiSerif Regular"/>
          <w:b/>
          <w:color w:val="000000"/>
        </w:rPr>
        <w:t>the recruited expert</w:t>
      </w:r>
      <w:r w:rsidRPr="00141516">
        <w:rPr>
          <w:rFonts w:ascii="StobiSerif Regular" w:eastAsia="StobiSerif Regular" w:hAnsi="StobiSerif Regular" w:cs="StobiSerif Regular"/>
          <w:b/>
          <w:color w:val="000000"/>
        </w:rPr>
        <w:t xml:space="preserve"> should accomplish the following tasks</w:t>
      </w:r>
      <w:r w:rsidRPr="00141516">
        <w:rPr>
          <w:rFonts w:ascii="StobiSerif Regular" w:eastAsia="StobiSerif Regular" w:hAnsi="StobiSerif Regular" w:cs="StobiSerif Regular"/>
          <w:color w:val="000000"/>
        </w:rPr>
        <w:t>:</w:t>
      </w:r>
    </w:p>
    <w:p w14:paraId="00000042" w14:textId="509D6A6D" w:rsidR="00C3271E" w:rsidRPr="00141516" w:rsidRDefault="005A14FD">
      <w:pPr>
        <w:numPr>
          <w:ilvl w:val="0"/>
          <w:numId w:val="3"/>
        </w:numPr>
        <w:pBdr>
          <w:top w:val="nil"/>
          <w:left w:val="nil"/>
          <w:bottom w:val="nil"/>
          <w:right w:val="nil"/>
          <w:between w:val="nil"/>
        </w:pBdr>
        <w:spacing w:after="0" w:line="240" w:lineRule="auto"/>
        <w:ind w:left="540"/>
        <w:jc w:val="both"/>
        <w:rPr>
          <w:rFonts w:ascii="StobiSerif Regular" w:eastAsia="StobiSerif Regular" w:hAnsi="StobiSerif Regular" w:cs="StobiSerif Regular"/>
          <w:color w:val="000000"/>
        </w:rPr>
      </w:pPr>
      <w:r>
        <w:rPr>
          <w:rFonts w:ascii="StobiSerif Regular" w:eastAsia="StobiSerif Regular" w:hAnsi="StobiSerif Regular" w:cs="StobiSerif Regular"/>
          <w:color w:val="000000"/>
        </w:rPr>
        <w:t>Providing relevant PC</w:t>
      </w:r>
      <w:r w:rsidR="00130B20" w:rsidRPr="00141516">
        <w:rPr>
          <w:rFonts w:ascii="StobiSerif Regular" w:eastAsia="StobiSerif Regular" w:hAnsi="StobiSerif Regular" w:cs="StobiSerif Regular"/>
          <w:color w:val="000000"/>
        </w:rPr>
        <w:t xml:space="preserve"> with administrative and operational support in his/her day-to-day activities;</w:t>
      </w:r>
    </w:p>
    <w:p w14:paraId="00000043" w14:textId="4833776C" w:rsidR="00C3271E" w:rsidRPr="00141516" w:rsidRDefault="00130B20">
      <w:pPr>
        <w:numPr>
          <w:ilvl w:val="0"/>
          <w:numId w:val="3"/>
        </w:numPr>
        <w:pBdr>
          <w:top w:val="nil"/>
          <w:left w:val="nil"/>
          <w:bottom w:val="nil"/>
          <w:right w:val="nil"/>
          <w:between w:val="nil"/>
        </w:pBdr>
        <w:spacing w:after="0" w:line="240" w:lineRule="auto"/>
        <w:ind w:left="540"/>
        <w:jc w:val="both"/>
        <w:rPr>
          <w:rFonts w:ascii="StobiSerif Regular" w:eastAsia="StobiSerif Regular" w:hAnsi="StobiSerif Regular" w:cs="StobiSerif Regular"/>
          <w:color w:val="000000"/>
        </w:rPr>
      </w:pPr>
      <w:r w:rsidRPr="00141516">
        <w:rPr>
          <w:rFonts w:ascii="StobiSerif Regular" w:eastAsia="StobiSerif Regular" w:hAnsi="StobiSerif Regular" w:cs="StobiSerif Regular"/>
          <w:color w:val="000000"/>
        </w:rPr>
        <w:t>Liaise and cooperate with the fellow PCs in the</w:t>
      </w:r>
      <w:r w:rsidR="00645053">
        <w:rPr>
          <w:rFonts w:ascii="StobiSerif Regular" w:eastAsia="StobiSerif Regular" w:hAnsi="StobiSerif Regular" w:cs="StobiSerif Regular"/>
          <w:color w:val="000000"/>
        </w:rPr>
        <w:t xml:space="preserve"> other EUSAIR countries coordinating Pillar 2</w:t>
      </w:r>
      <w:bookmarkStart w:id="0" w:name="_GoBack"/>
      <w:bookmarkEnd w:id="0"/>
      <w:r w:rsidRPr="00141516">
        <w:rPr>
          <w:rFonts w:ascii="StobiSerif Regular" w:eastAsia="StobiSerif Regular" w:hAnsi="StobiSerif Regular" w:cs="StobiSerif Regular"/>
          <w:color w:val="000000"/>
        </w:rPr>
        <w:t>;</w:t>
      </w:r>
    </w:p>
    <w:p w14:paraId="00000044" w14:textId="025506C4" w:rsidR="00C3271E" w:rsidRPr="00141516" w:rsidRDefault="005A14FD">
      <w:pPr>
        <w:numPr>
          <w:ilvl w:val="0"/>
          <w:numId w:val="3"/>
        </w:numPr>
        <w:pBdr>
          <w:top w:val="nil"/>
          <w:left w:val="nil"/>
          <w:bottom w:val="nil"/>
          <w:right w:val="nil"/>
          <w:between w:val="nil"/>
        </w:pBdr>
        <w:spacing w:after="0" w:line="240" w:lineRule="auto"/>
        <w:ind w:left="540"/>
        <w:jc w:val="both"/>
        <w:rPr>
          <w:rFonts w:ascii="StobiSerif Regular" w:eastAsia="StobiSerif Regular" w:hAnsi="StobiSerif Regular" w:cs="StobiSerif Regular"/>
          <w:color w:val="000000"/>
        </w:rPr>
      </w:pPr>
      <w:r>
        <w:rPr>
          <w:rFonts w:ascii="StobiSerif Regular" w:eastAsia="StobiSerif Regular" w:hAnsi="StobiSerif Regular" w:cs="StobiSerif Regular"/>
          <w:color w:val="000000"/>
        </w:rPr>
        <w:t>Under the guidance of the PC</w:t>
      </w:r>
      <w:r w:rsidR="00130B20" w:rsidRPr="00141516">
        <w:rPr>
          <w:rFonts w:ascii="StobiSerif Regular" w:eastAsia="StobiSerif Regular" w:hAnsi="StobiSerif Regular" w:cs="StobiSerif Regular"/>
          <w:color w:val="000000"/>
        </w:rPr>
        <w:t xml:space="preserve"> and in cooperation with the fellow expert in the EU Member State will: organise the work and support the activities of the relevant TSG (for Pillar 2 – Connecting the Region) drafting programme and agenda, support documents, minutes, keep TSG documentation up to date, communication with TSG members, practical arrangements, liaise with Facility Point Project Partner for administrative and technical support for the organisation of TSG meetings, including hoc meetings, seminars, work-shops, events, liaise  with the EU funds National Coordinator)</w:t>
      </w:r>
      <w:r>
        <w:rPr>
          <w:rFonts w:ascii="StobiSerif Regular" w:eastAsia="StobiSerif Regular" w:hAnsi="StobiSerif Regular" w:cs="StobiSerif Regular"/>
          <w:color w:val="000000"/>
        </w:rPr>
        <w:t>;</w:t>
      </w:r>
    </w:p>
    <w:p w14:paraId="00000045" w14:textId="494027EF" w:rsidR="00C3271E" w:rsidRPr="00141516" w:rsidRDefault="005A14FD">
      <w:pPr>
        <w:numPr>
          <w:ilvl w:val="0"/>
          <w:numId w:val="3"/>
        </w:numPr>
        <w:pBdr>
          <w:top w:val="nil"/>
          <w:left w:val="nil"/>
          <w:bottom w:val="nil"/>
          <w:right w:val="nil"/>
          <w:between w:val="nil"/>
        </w:pBdr>
        <w:spacing w:after="0" w:line="240" w:lineRule="auto"/>
        <w:ind w:left="540"/>
        <w:jc w:val="both"/>
        <w:rPr>
          <w:rFonts w:ascii="StobiSerif Regular" w:eastAsia="StobiSerif Regular" w:hAnsi="StobiSerif Regular" w:cs="StobiSerif Regular"/>
          <w:color w:val="000000"/>
        </w:rPr>
      </w:pPr>
      <w:r>
        <w:rPr>
          <w:rFonts w:ascii="StobiSerif Regular" w:eastAsia="StobiSerif Regular" w:hAnsi="StobiSerif Regular" w:cs="StobiSerif Regular"/>
          <w:color w:val="000000"/>
        </w:rPr>
        <w:t>Upon request of the PC</w:t>
      </w:r>
      <w:r w:rsidR="00130B20" w:rsidRPr="00141516">
        <w:rPr>
          <w:rFonts w:ascii="StobiSerif Regular" w:eastAsia="StobiSerif Regular" w:hAnsi="StobiSerif Regular" w:cs="StobiSerif Regular"/>
          <w:color w:val="000000"/>
        </w:rPr>
        <w:t>, provide him/her with reports, briefings, researches, data on TSG related topics;</w:t>
      </w:r>
    </w:p>
    <w:p w14:paraId="00000046" w14:textId="77777777" w:rsidR="00C3271E" w:rsidRPr="00141516" w:rsidRDefault="00130B20">
      <w:pPr>
        <w:numPr>
          <w:ilvl w:val="0"/>
          <w:numId w:val="3"/>
        </w:numPr>
        <w:pBdr>
          <w:top w:val="nil"/>
          <w:left w:val="nil"/>
          <w:bottom w:val="nil"/>
          <w:right w:val="nil"/>
          <w:between w:val="nil"/>
        </w:pBdr>
        <w:spacing w:after="0" w:line="240" w:lineRule="auto"/>
        <w:ind w:left="540"/>
        <w:jc w:val="both"/>
        <w:rPr>
          <w:rFonts w:ascii="StobiSerif Regular" w:eastAsia="StobiSerif Regular" w:hAnsi="StobiSerif Regular" w:cs="StobiSerif Regular"/>
          <w:color w:val="000000"/>
        </w:rPr>
      </w:pPr>
      <w:r w:rsidRPr="00141516">
        <w:rPr>
          <w:rFonts w:ascii="StobiSerif Regular" w:eastAsia="StobiSerif Regular" w:hAnsi="StobiSerif Regular" w:cs="StobiSerif Regular"/>
          <w:color w:val="000000"/>
        </w:rPr>
        <w:t xml:space="preserve">Support EUSAIR monitoring and evaluation providing monitor and evaluation experts with relevant information and most updated data on the activities performed and results achieved under the Pillar concerned; </w:t>
      </w:r>
    </w:p>
    <w:p w14:paraId="00000047" w14:textId="2C7F0059" w:rsidR="00C3271E" w:rsidRPr="00141516" w:rsidRDefault="00130B20">
      <w:pPr>
        <w:numPr>
          <w:ilvl w:val="0"/>
          <w:numId w:val="3"/>
        </w:numPr>
        <w:pBdr>
          <w:top w:val="nil"/>
          <w:left w:val="nil"/>
          <w:bottom w:val="nil"/>
          <w:right w:val="nil"/>
          <w:between w:val="nil"/>
        </w:pBdr>
        <w:spacing w:after="0" w:line="240" w:lineRule="auto"/>
        <w:ind w:left="540"/>
        <w:jc w:val="both"/>
        <w:rPr>
          <w:rFonts w:ascii="StobiSerif Regular" w:eastAsia="StobiSerif Regular" w:hAnsi="StobiSerif Regular" w:cs="StobiSerif Regular"/>
          <w:color w:val="000000"/>
        </w:rPr>
      </w:pPr>
      <w:r w:rsidRPr="00141516">
        <w:rPr>
          <w:rFonts w:ascii="StobiSerif Regular" w:eastAsia="StobiSerif Regular" w:hAnsi="StobiSerif Regular" w:cs="StobiSerif Regular"/>
          <w:color w:val="000000"/>
        </w:rPr>
        <w:t>Further tasks may be assigned to the expert a</w:t>
      </w:r>
      <w:r w:rsidR="005A14FD">
        <w:rPr>
          <w:rFonts w:ascii="StobiSerif Regular" w:eastAsia="StobiSerif Regular" w:hAnsi="StobiSerif Regular" w:cs="StobiSerif Regular"/>
          <w:color w:val="000000"/>
        </w:rPr>
        <w:t>ccording to the needs of the PC</w:t>
      </w:r>
      <w:r w:rsidRPr="00141516">
        <w:rPr>
          <w:rFonts w:ascii="StobiSerif Regular" w:eastAsia="StobiSerif Regular" w:hAnsi="StobiSerif Regular" w:cs="StobiSerif Regular"/>
          <w:color w:val="000000"/>
        </w:rPr>
        <w:t xml:space="preserve"> and TSG.</w:t>
      </w:r>
    </w:p>
    <w:p w14:paraId="00000048" w14:textId="77777777" w:rsidR="00C3271E" w:rsidRPr="00141516" w:rsidRDefault="00C3271E">
      <w:pPr>
        <w:pBdr>
          <w:top w:val="nil"/>
          <w:left w:val="nil"/>
          <w:bottom w:val="nil"/>
          <w:right w:val="nil"/>
          <w:between w:val="nil"/>
        </w:pBdr>
        <w:spacing w:after="0" w:line="240" w:lineRule="auto"/>
        <w:rPr>
          <w:rFonts w:ascii="StobiSerif Regular" w:eastAsia="StobiSerif Regular" w:hAnsi="StobiSerif Regular" w:cs="StobiSerif Regular"/>
          <w:b/>
          <w:color w:val="000000"/>
        </w:rPr>
      </w:pPr>
    </w:p>
    <w:p w14:paraId="00000049" w14:textId="77777777" w:rsidR="00C3271E" w:rsidRPr="00141516" w:rsidRDefault="00130B20">
      <w:pPr>
        <w:numPr>
          <w:ilvl w:val="0"/>
          <w:numId w:val="2"/>
        </w:numPr>
        <w:pBdr>
          <w:top w:val="nil"/>
          <w:left w:val="nil"/>
          <w:bottom w:val="nil"/>
          <w:right w:val="nil"/>
          <w:between w:val="nil"/>
        </w:pBdr>
        <w:spacing w:after="0" w:line="240" w:lineRule="auto"/>
        <w:ind w:left="0"/>
        <w:rPr>
          <w:rFonts w:ascii="StobiSerif Regular" w:eastAsia="StobiSerif Regular" w:hAnsi="StobiSerif Regular" w:cs="StobiSerif Regular"/>
          <w:b/>
          <w:color w:val="000000"/>
        </w:rPr>
      </w:pPr>
      <w:r w:rsidRPr="00141516">
        <w:rPr>
          <w:rFonts w:ascii="StobiSerif Regular" w:eastAsia="StobiSerif Regular" w:hAnsi="StobiSerif Regular" w:cs="StobiSerif Regular"/>
          <w:b/>
          <w:color w:val="000000"/>
        </w:rPr>
        <w:t>DURATION OF CONTRACT</w:t>
      </w:r>
    </w:p>
    <w:p w14:paraId="0000004A" w14:textId="6CFD50BA" w:rsidR="00C3271E" w:rsidRPr="00141516" w:rsidRDefault="00130B20">
      <w:pPr>
        <w:pBdr>
          <w:top w:val="nil"/>
          <w:left w:val="nil"/>
          <w:bottom w:val="nil"/>
          <w:right w:val="nil"/>
          <w:between w:val="nil"/>
        </w:pBdr>
        <w:spacing w:after="0" w:line="240" w:lineRule="auto"/>
        <w:rPr>
          <w:rFonts w:ascii="StobiSerif Regular" w:eastAsia="StobiSerif Regular" w:hAnsi="StobiSerif Regular" w:cs="StobiSerif Regular"/>
          <w:color w:val="000000"/>
        </w:rPr>
      </w:pPr>
      <w:r w:rsidRPr="00141516">
        <w:rPr>
          <w:rFonts w:ascii="StobiSerif Regular" w:eastAsia="StobiSerif Regular" w:hAnsi="StobiSerif Regular" w:cs="StobiSerif Regular"/>
          <w:color w:val="000000"/>
        </w:rPr>
        <w:t xml:space="preserve">Initial contract of 1 (one) year will be offered, with possibility of </w:t>
      </w:r>
      <w:r w:rsidR="00296CDE" w:rsidRPr="00141516">
        <w:rPr>
          <w:rFonts w:ascii="StobiSerif Regular" w:eastAsia="StobiSerif Regular" w:hAnsi="StobiSerif Regular" w:cs="StobiSerif Regular"/>
          <w:color w:val="000000"/>
        </w:rPr>
        <w:t xml:space="preserve">an extension, subject of satisfactory performance </w:t>
      </w:r>
      <w:r w:rsidRPr="00141516">
        <w:rPr>
          <w:rFonts w:ascii="StobiSerif Regular" w:eastAsia="StobiSerif Regular" w:hAnsi="StobiSerif Regular" w:cs="StobiSerif Regular"/>
          <w:color w:val="000000"/>
        </w:rPr>
        <w:t xml:space="preserve">until the end of the project (30 April 2024). </w:t>
      </w:r>
    </w:p>
    <w:p w14:paraId="0000004B" w14:textId="77777777" w:rsidR="00C3271E" w:rsidRPr="00141516" w:rsidRDefault="00C3271E">
      <w:pPr>
        <w:pBdr>
          <w:top w:val="nil"/>
          <w:left w:val="nil"/>
          <w:bottom w:val="nil"/>
          <w:right w:val="nil"/>
          <w:between w:val="nil"/>
        </w:pBdr>
        <w:spacing w:after="0" w:line="240" w:lineRule="auto"/>
        <w:rPr>
          <w:rFonts w:ascii="StobiSerif Regular" w:eastAsia="StobiSerif Regular" w:hAnsi="StobiSerif Regular" w:cs="StobiSerif Regular"/>
          <w:color w:val="000000"/>
        </w:rPr>
      </w:pPr>
    </w:p>
    <w:p w14:paraId="0000004C" w14:textId="5BCC9566" w:rsidR="00C3271E" w:rsidRPr="00141516" w:rsidRDefault="00130B20">
      <w:pPr>
        <w:pBdr>
          <w:top w:val="nil"/>
          <w:left w:val="nil"/>
          <w:bottom w:val="nil"/>
          <w:right w:val="nil"/>
          <w:between w:val="nil"/>
        </w:pBdr>
        <w:spacing w:after="0" w:line="240" w:lineRule="auto"/>
        <w:rPr>
          <w:rFonts w:ascii="StobiSerif Regular" w:eastAsia="StobiSerif Regular" w:hAnsi="StobiSerif Regular" w:cs="StobiSerif Regular"/>
          <w:color w:val="000000"/>
        </w:rPr>
      </w:pPr>
      <w:r w:rsidRPr="00141516">
        <w:rPr>
          <w:rFonts w:ascii="StobiSerif Regular" w:eastAsia="StobiSerif Regular" w:hAnsi="StobiSerif Regular" w:cs="StobiSerif Regular"/>
          <w:color w:val="000000"/>
        </w:rPr>
        <w:t xml:space="preserve">The </w:t>
      </w:r>
      <w:r w:rsidR="00296CDE" w:rsidRPr="00141516">
        <w:rPr>
          <w:rFonts w:ascii="StobiSerif Regular" w:eastAsia="StobiSerif Regular" w:hAnsi="StobiSerif Regular" w:cs="StobiSerif Regular"/>
          <w:color w:val="000000"/>
        </w:rPr>
        <w:t>indicative</w:t>
      </w:r>
      <w:r w:rsidR="007D5789" w:rsidRPr="00141516">
        <w:rPr>
          <w:rFonts w:ascii="StobiSerif Regular" w:eastAsia="StobiSerif Regular" w:hAnsi="StobiSerif Regular" w:cs="StobiSerif Regular"/>
          <w:color w:val="000000"/>
        </w:rPr>
        <w:t xml:space="preserve"> start of the engagement: as soon as possible. </w:t>
      </w:r>
    </w:p>
    <w:p w14:paraId="0000004D" w14:textId="77777777" w:rsidR="00C3271E" w:rsidRPr="00141516" w:rsidRDefault="00C3271E">
      <w:pPr>
        <w:pBdr>
          <w:top w:val="nil"/>
          <w:left w:val="nil"/>
          <w:bottom w:val="nil"/>
          <w:right w:val="nil"/>
          <w:between w:val="nil"/>
        </w:pBdr>
        <w:spacing w:after="0" w:line="240" w:lineRule="auto"/>
        <w:rPr>
          <w:rFonts w:ascii="StobiSerif Regular" w:eastAsia="StobiSerif Regular" w:hAnsi="StobiSerif Regular" w:cs="StobiSerif Regular"/>
          <w:b/>
          <w:color w:val="000000"/>
        </w:rPr>
      </w:pPr>
    </w:p>
    <w:p w14:paraId="0000004E" w14:textId="77777777" w:rsidR="00C3271E" w:rsidRPr="00141516" w:rsidRDefault="00130B20">
      <w:pPr>
        <w:numPr>
          <w:ilvl w:val="0"/>
          <w:numId w:val="2"/>
        </w:numPr>
        <w:pBdr>
          <w:top w:val="nil"/>
          <w:left w:val="nil"/>
          <w:bottom w:val="nil"/>
          <w:right w:val="nil"/>
          <w:between w:val="nil"/>
        </w:pBdr>
        <w:spacing w:after="0" w:line="240" w:lineRule="auto"/>
        <w:ind w:left="0"/>
        <w:rPr>
          <w:rFonts w:ascii="StobiSerif Regular" w:eastAsia="StobiSerif Regular" w:hAnsi="StobiSerif Regular" w:cs="StobiSerif Regular"/>
          <w:b/>
          <w:color w:val="000000"/>
        </w:rPr>
      </w:pPr>
      <w:r w:rsidRPr="00141516">
        <w:rPr>
          <w:rFonts w:ascii="StobiSerif Regular" w:eastAsia="StobiSerif Regular" w:hAnsi="StobiSerif Regular" w:cs="StobiSerif Regular"/>
          <w:b/>
          <w:color w:val="000000"/>
        </w:rPr>
        <w:t>SOURCE OF FUNDING</w:t>
      </w:r>
    </w:p>
    <w:p w14:paraId="0000004F" w14:textId="77777777" w:rsidR="00C3271E" w:rsidRPr="00141516" w:rsidRDefault="00130B20">
      <w:pPr>
        <w:pBdr>
          <w:top w:val="nil"/>
          <w:left w:val="nil"/>
          <w:bottom w:val="nil"/>
          <w:right w:val="nil"/>
          <w:between w:val="nil"/>
        </w:pBdr>
        <w:spacing w:after="0" w:line="240" w:lineRule="auto"/>
        <w:jc w:val="both"/>
        <w:rPr>
          <w:rFonts w:ascii="StobiSerif Regular" w:eastAsia="StobiSerif Regular" w:hAnsi="StobiSerif Regular" w:cs="StobiSerif Regular"/>
          <w:color w:val="000000"/>
        </w:rPr>
      </w:pPr>
      <w:r w:rsidRPr="00141516">
        <w:rPr>
          <w:rFonts w:ascii="StobiSerif Regular" w:eastAsia="StobiSerif Regular" w:hAnsi="StobiSerif Regular" w:cs="StobiSerif Regular"/>
          <w:color w:val="000000"/>
        </w:rPr>
        <w:t xml:space="preserve">Grant Agreement No. 2020CE160AT115 of 12 November 2021 on financing of the project “EU support to implementation of the EU Strategy for the Adriatic and Ionian Region (EUSAIR) in North Macedonia”. </w:t>
      </w:r>
    </w:p>
    <w:p w14:paraId="00000050" w14:textId="77777777" w:rsidR="00C3271E" w:rsidRPr="00141516" w:rsidRDefault="00C3271E">
      <w:pPr>
        <w:pBdr>
          <w:top w:val="nil"/>
          <w:left w:val="nil"/>
          <w:bottom w:val="nil"/>
          <w:right w:val="nil"/>
          <w:between w:val="nil"/>
        </w:pBdr>
        <w:spacing w:after="0" w:line="240" w:lineRule="auto"/>
        <w:jc w:val="both"/>
        <w:rPr>
          <w:rFonts w:ascii="StobiSerif Regular" w:eastAsia="StobiSerif Regular" w:hAnsi="StobiSerif Regular" w:cs="StobiSerif Regular"/>
          <w:b/>
          <w:color w:val="000000"/>
        </w:rPr>
      </w:pPr>
    </w:p>
    <w:p w14:paraId="00000051" w14:textId="77777777" w:rsidR="00C3271E" w:rsidRPr="00141516" w:rsidRDefault="00130B20">
      <w:pPr>
        <w:numPr>
          <w:ilvl w:val="0"/>
          <w:numId w:val="2"/>
        </w:numPr>
        <w:pBdr>
          <w:top w:val="nil"/>
          <w:left w:val="nil"/>
          <w:bottom w:val="nil"/>
          <w:right w:val="nil"/>
          <w:between w:val="nil"/>
        </w:pBdr>
        <w:spacing w:after="0" w:line="240" w:lineRule="auto"/>
        <w:ind w:left="0"/>
        <w:rPr>
          <w:rFonts w:ascii="StobiSerif Regular" w:eastAsia="StobiSerif Regular" w:hAnsi="StobiSerif Regular" w:cs="StobiSerif Regular"/>
          <w:b/>
          <w:color w:val="000000"/>
        </w:rPr>
      </w:pPr>
      <w:r w:rsidRPr="00141516">
        <w:rPr>
          <w:rFonts w:ascii="StobiSerif Regular" w:eastAsia="StobiSerif Regular" w:hAnsi="StobiSerif Regular" w:cs="StobiSerif Regular"/>
          <w:b/>
          <w:color w:val="000000"/>
        </w:rPr>
        <w:t>METHOD OF CONTRACTING</w:t>
      </w:r>
    </w:p>
    <w:p w14:paraId="00000052" w14:textId="2F7CBDD0" w:rsidR="00C3271E" w:rsidRPr="00141516" w:rsidRDefault="00130B20">
      <w:pPr>
        <w:pBdr>
          <w:top w:val="nil"/>
          <w:left w:val="nil"/>
          <w:bottom w:val="nil"/>
          <w:right w:val="nil"/>
          <w:between w:val="nil"/>
        </w:pBdr>
        <w:spacing w:after="0" w:line="240" w:lineRule="auto"/>
        <w:jc w:val="both"/>
        <w:rPr>
          <w:rFonts w:ascii="StobiSerif Regular" w:eastAsia="StobiSerif Regular" w:hAnsi="StobiSerif Regular" w:cs="StobiSerif Regular"/>
          <w:color w:val="000000"/>
        </w:rPr>
      </w:pPr>
      <w:r w:rsidRPr="00141516">
        <w:rPr>
          <w:rFonts w:ascii="StobiSerif Regular" w:eastAsia="StobiSerif Regular" w:hAnsi="StobiSerif Regular" w:cs="StobiSerif Regular"/>
          <w:color w:val="000000"/>
        </w:rPr>
        <w:t>The Secretariat for European Affairs, as grantee of the project "EU support so implementation of the EU Strategy for the Adria</w:t>
      </w:r>
      <w:r w:rsidR="007D5789" w:rsidRPr="00141516">
        <w:rPr>
          <w:rFonts w:ascii="StobiSerif Regular" w:eastAsia="StobiSerif Regular" w:hAnsi="StobiSerif Regular" w:cs="StobiSerif Regular"/>
          <w:color w:val="000000"/>
        </w:rPr>
        <w:t>tic and Ionian Region (EUSAIR) i</w:t>
      </w:r>
      <w:r w:rsidRPr="00141516">
        <w:rPr>
          <w:rFonts w:ascii="StobiSerif Regular" w:eastAsia="StobiSerif Regular" w:hAnsi="StobiSerif Regular" w:cs="StobiSerif Regular"/>
          <w:color w:val="000000"/>
        </w:rPr>
        <w:t xml:space="preserve">n North Macedonia will recruit and contract the experts in accordance to the national legislative framework. </w:t>
      </w:r>
    </w:p>
    <w:p w14:paraId="00000053" w14:textId="77777777" w:rsidR="00C3271E" w:rsidRPr="00141516" w:rsidRDefault="00C3271E">
      <w:pPr>
        <w:pBdr>
          <w:top w:val="nil"/>
          <w:left w:val="nil"/>
          <w:bottom w:val="nil"/>
          <w:right w:val="nil"/>
          <w:between w:val="nil"/>
        </w:pBdr>
        <w:spacing w:after="0" w:line="240" w:lineRule="auto"/>
        <w:jc w:val="both"/>
        <w:rPr>
          <w:rFonts w:ascii="StobiSerif Regular" w:eastAsia="StobiSerif Regular" w:hAnsi="StobiSerif Regular" w:cs="StobiSerif Regular"/>
          <w:color w:val="000000"/>
        </w:rPr>
      </w:pPr>
    </w:p>
    <w:p w14:paraId="00000054" w14:textId="77777777" w:rsidR="00C3271E" w:rsidRPr="00141516" w:rsidRDefault="00130B20">
      <w:pPr>
        <w:pBdr>
          <w:top w:val="nil"/>
          <w:left w:val="nil"/>
          <w:bottom w:val="nil"/>
          <w:right w:val="nil"/>
          <w:between w:val="nil"/>
        </w:pBdr>
        <w:spacing w:after="0" w:line="240" w:lineRule="auto"/>
        <w:jc w:val="both"/>
        <w:rPr>
          <w:rFonts w:ascii="StobiSerif Regular" w:eastAsia="StobiSerif Regular" w:hAnsi="StobiSerif Regular" w:cs="StobiSerif Regular"/>
          <w:color w:val="000000"/>
        </w:rPr>
      </w:pPr>
      <w:r w:rsidRPr="00141516">
        <w:rPr>
          <w:rFonts w:ascii="StobiSerif Regular" w:eastAsia="StobiSerif Regular" w:hAnsi="StobiSerif Regular" w:cs="StobiSerif Regular"/>
          <w:color w:val="000000"/>
        </w:rPr>
        <w:t xml:space="preserve">All candidates will have equal opportunities to be admitted according to their abilities, education and personal capacity in line with the requirements listed in this </w:t>
      </w:r>
      <w:proofErr w:type="spellStart"/>
      <w:r w:rsidRPr="00141516">
        <w:rPr>
          <w:rFonts w:ascii="StobiSerif Regular" w:eastAsia="StobiSerif Regular" w:hAnsi="StobiSerif Regular" w:cs="StobiSerif Regular"/>
          <w:color w:val="000000"/>
        </w:rPr>
        <w:t>ToR</w:t>
      </w:r>
      <w:proofErr w:type="spellEnd"/>
      <w:r w:rsidRPr="00141516">
        <w:rPr>
          <w:rFonts w:ascii="StobiSerif Regular" w:eastAsia="StobiSerif Regular" w:hAnsi="StobiSerif Regular" w:cs="StobiSerif Regular"/>
          <w:color w:val="000000"/>
        </w:rPr>
        <w:t>.</w:t>
      </w:r>
    </w:p>
    <w:p w14:paraId="00000055" w14:textId="77777777" w:rsidR="00C3271E" w:rsidRPr="00141516" w:rsidRDefault="00C3271E">
      <w:pPr>
        <w:pBdr>
          <w:top w:val="nil"/>
          <w:left w:val="nil"/>
          <w:bottom w:val="nil"/>
          <w:right w:val="nil"/>
          <w:between w:val="nil"/>
        </w:pBdr>
        <w:spacing w:after="0" w:line="240" w:lineRule="auto"/>
        <w:jc w:val="both"/>
        <w:rPr>
          <w:rFonts w:ascii="StobiSerif Regular" w:eastAsia="StobiSerif Regular" w:hAnsi="StobiSerif Regular" w:cs="StobiSerif Regular"/>
          <w:b/>
          <w:color w:val="000000"/>
        </w:rPr>
      </w:pPr>
    </w:p>
    <w:p w14:paraId="00000056" w14:textId="77777777" w:rsidR="00C3271E" w:rsidRPr="00141516" w:rsidRDefault="00130B20" w:rsidP="00C54164">
      <w:pPr>
        <w:numPr>
          <w:ilvl w:val="0"/>
          <w:numId w:val="2"/>
        </w:numPr>
        <w:pBdr>
          <w:top w:val="nil"/>
          <w:left w:val="nil"/>
          <w:bottom w:val="nil"/>
          <w:right w:val="nil"/>
          <w:between w:val="nil"/>
        </w:pBdr>
        <w:spacing w:after="0" w:line="240" w:lineRule="auto"/>
        <w:ind w:left="0"/>
        <w:jc w:val="both"/>
        <w:rPr>
          <w:rFonts w:ascii="StobiSerif Regular" w:eastAsia="StobiSerif Regular" w:hAnsi="StobiSerif Regular" w:cs="StobiSerif Regular"/>
          <w:b/>
          <w:color w:val="000000"/>
        </w:rPr>
      </w:pPr>
      <w:r w:rsidRPr="00141516">
        <w:rPr>
          <w:rFonts w:ascii="StobiSerif Regular" w:eastAsia="StobiSerif Regular" w:hAnsi="StobiSerif Regular" w:cs="StobiSerif Regular"/>
          <w:b/>
          <w:color w:val="000000"/>
        </w:rPr>
        <w:lastRenderedPageBreak/>
        <w:t>BUDGET</w:t>
      </w:r>
    </w:p>
    <w:p w14:paraId="00000057" w14:textId="2B0E1F6F" w:rsidR="00C3271E" w:rsidRPr="00141516" w:rsidRDefault="00130B20" w:rsidP="00C54164">
      <w:pPr>
        <w:pBdr>
          <w:top w:val="nil"/>
          <w:left w:val="nil"/>
          <w:bottom w:val="nil"/>
          <w:right w:val="nil"/>
          <w:between w:val="nil"/>
        </w:pBdr>
        <w:spacing w:after="0" w:line="240" w:lineRule="auto"/>
        <w:jc w:val="both"/>
        <w:rPr>
          <w:rFonts w:ascii="StobiSerif Regular" w:eastAsia="StobiSerif Regular" w:hAnsi="StobiSerif Regular" w:cs="StobiSerif Regular"/>
          <w:color w:val="000000"/>
        </w:rPr>
      </w:pPr>
      <w:bookmarkStart w:id="1" w:name="_heading=h.gjdgxs" w:colFirst="0" w:colLast="0"/>
      <w:bookmarkEnd w:id="1"/>
      <w:r w:rsidRPr="00141516">
        <w:rPr>
          <w:rFonts w:ascii="StobiSerif Regular" w:eastAsia="StobiSerif Regular" w:hAnsi="StobiSerif Regular" w:cs="StobiSerif Regular"/>
          <w:color w:val="000000"/>
        </w:rPr>
        <w:t>The yearly expenditure will amount to EUR 30.000, of whic</w:t>
      </w:r>
      <w:r w:rsidR="005A14FD">
        <w:rPr>
          <w:rFonts w:ascii="StobiSerif Regular" w:eastAsia="StobiSerif Regular" w:hAnsi="StobiSerif Regular" w:cs="StobiSerif Regular"/>
          <w:color w:val="000000"/>
        </w:rPr>
        <w:t>h EUR 20.000 will cover expert’s</w:t>
      </w:r>
      <w:r w:rsidRPr="00141516">
        <w:rPr>
          <w:rFonts w:ascii="StobiSerif Regular" w:eastAsia="StobiSerif Regular" w:hAnsi="StobiSerif Regular" w:cs="StobiSerif Regular"/>
          <w:color w:val="000000"/>
        </w:rPr>
        <w:t xml:space="preserve"> yearly gross salary </w:t>
      </w:r>
      <w:r w:rsidR="009C5DD6" w:rsidRPr="00141516">
        <w:rPr>
          <w:rFonts w:ascii="StobiSerif Regular" w:eastAsia="StobiSerif Regular" w:hAnsi="StobiSerif Regular" w:cs="StobiSerif Regular"/>
          <w:color w:val="000000"/>
        </w:rPr>
        <w:t>(</w:t>
      </w:r>
      <w:r w:rsidR="00C54164" w:rsidRPr="00141516">
        <w:rPr>
          <w:rFonts w:ascii="StobiSerif Regular" w:eastAsia="StobiSerif Regular" w:hAnsi="StobiSerif Regular" w:cs="StobiSerif Regular"/>
          <w:color w:val="000000"/>
        </w:rPr>
        <w:t>payed in local currency and subject</w:t>
      </w:r>
      <w:r w:rsidR="009C5DD6" w:rsidRPr="00141516">
        <w:rPr>
          <w:rFonts w:ascii="StobiSerif Regular" w:eastAsia="StobiSerif Regular" w:hAnsi="StobiSerif Regular" w:cs="StobiSerif Regular"/>
          <w:color w:val="000000"/>
        </w:rPr>
        <w:t xml:space="preserve"> to </w:t>
      </w:r>
      <w:r w:rsidR="00523168" w:rsidRPr="00141516">
        <w:rPr>
          <w:rFonts w:ascii="StobiSerif Regular" w:eastAsia="StobiSerif Regular" w:hAnsi="StobiSerif Regular" w:cs="StobiSerif Regular"/>
          <w:color w:val="000000"/>
        </w:rPr>
        <w:t>p</w:t>
      </w:r>
      <w:r w:rsidR="009C5DD6" w:rsidRPr="00141516">
        <w:rPr>
          <w:rFonts w:ascii="StobiSerif Regular" w:eastAsia="StobiSerif Regular" w:hAnsi="StobiSerif Regular" w:cs="StobiSerif Regular"/>
          <w:color w:val="000000"/>
        </w:rPr>
        <w:t xml:space="preserve">ersonal income tax) </w:t>
      </w:r>
      <w:r w:rsidRPr="00141516">
        <w:rPr>
          <w:rFonts w:ascii="StobiSerif Regular" w:eastAsia="StobiSerif Regular" w:hAnsi="StobiSerif Regular" w:cs="StobiSerif Regular"/>
          <w:color w:val="000000"/>
        </w:rPr>
        <w:t xml:space="preserve">and EUR 10.000 </w:t>
      </w:r>
      <w:r w:rsidR="009D4BB3" w:rsidRPr="00141516">
        <w:rPr>
          <w:rFonts w:ascii="StobiSerif Regular" w:eastAsia="StobiSerif Regular" w:hAnsi="StobiSerif Regular" w:cs="StobiSerif Regular"/>
          <w:color w:val="000000"/>
        </w:rPr>
        <w:t xml:space="preserve">for </w:t>
      </w:r>
      <w:r w:rsidRPr="00141516">
        <w:rPr>
          <w:rFonts w:ascii="StobiSerif Regular" w:eastAsia="StobiSerif Regular" w:hAnsi="StobiSerif Regular" w:cs="StobiSerif Regular"/>
          <w:color w:val="000000"/>
        </w:rPr>
        <w:t>travel and accommodation costs for missions.</w:t>
      </w:r>
      <w:r w:rsidR="009C5DD6" w:rsidRPr="00141516">
        <w:rPr>
          <w:rFonts w:ascii="StobiSerif Regular" w:eastAsia="StobiSerif Regular" w:hAnsi="StobiSerif Regular" w:cs="StobiSerif Regular"/>
          <w:color w:val="000000"/>
        </w:rPr>
        <w:t xml:space="preserve"> </w:t>
      </w:r>
    </w:p>
    <w:p w14:paraId="00000058" w14:textId="77777777" w:rsidR="00C3271E" w:rsidRPr="00141516" w:rsidRDefault="00C3271E" w:rsidP="00C54164">
      <w:pPr>
        <w:pBdr>
          <w:top w:val="nil"/>
          <w:left w:val="nil"/>
          <w:bottom w:val="nil"/>
          <w:right w:val="nil"/>
          <w:between w:val="nil"/>
        </w:pBdr>
        <w:spacing w:after="0" w:line="240" w:lineRule="auto"/>
        <w:jc w:val="both"/>
        <w:rPr>
          <w:rFonts w:ascii="StobiSerif Regular" w:eastAsia="StobiSerif Regular" w:hAnsi="StobiSerif Regular" w:cs="StobiSerif Regular"/>
          <w:color w:val="000000"/>
        </w:rPr>
      </w:pPr>
    </w:p>
    <w:p w14:paraId="00000059" w14:textId="77777777" w:rsidR="00C3271E" w:rsidRPr="00141516" w:rsidRDefault="00130B20" w:rsidP="00C54164">
      <w:pPr>
        <w:numPr>
          <w:ilvl w:val="0"/>
          <w:numId w:val="2"/>
        </w:numPr>
        <w:pBdr>
          <w:top w:val="nil"/>
          <w:left w:val="nil"/>
          <w:bottom w:val="nil"/>
          <w:right w:val="nil"/>
          <w:between w:val="nil"/>
        </w:pBdr>
        <w:spacing w:after="0" w:line="240" w:lineRule="auto"/>
        <w:ind w:left="0"/>
        <w:jc w:val="both"/>
        <w:rPr>
          <w:rFonts w:ascii="StobiSerif Regular" w:eastAsia="StobiSerif Regular" w:hAnsi="StobiSerif Regular" w:cs="StobiSerif Regular"/>
          <w:b/>
          <w:color w:val="000000"/>
        </w:rPr>
      </w:pPr>
      <w:r w:rsidRPr="00141516">
        <w:rPr>
          <w:rFonts w:ascii="StobiSerif Regular" w:eastAsia="StobiSerif Regular" w:hAnsi="StobiSerif Regular" w:cs="StobiSerif Regular"/>
          <w:b/>
          <w:color w:val="000000"/>
        </w:rPr>
        <w:t xml:space="preserve"> APPLICATION RULES </w:t>
      </w:r>
    </w:p>
    <w:p w14:paraId="0000005A" w14:textId="2CDAB198" w:rsidR="00C3271E" w:rsidRPr="00141516" w:rsidRDefault="00130B20" w:rsidP="00C54164">
      <w:pPr>
        <w:spacing w:after="0" w:line="240" w:lineRule="auto"/>
        <w:jc w:val="both"/>
        <w:rPr>
          <w:rFonts w:ascii="StobiSerif Regular" w:eastAsia="StobiSerif Regular" w:hAnsi="StobiSerif Regular" w:cs="StobiSerif Regular"/>
        </w:rPr>
      </w:pPr>
      <w:r w:rsidRPr="00141516">
        <w:rPr>
          <w:rFonts w:ascii="StobiSerif Regular" w:eastAsia="StobiSerif Regular" w:hAnsi="StobiSerif Regular" w:cs="StobiSerif Regular"/>
        </w:rPr>
        <w:t xml:space="preserve">Qualified candidates are invited to send their motivation letter, CV highlighting relevant experience and </w:t>
      </w:r>
      <w:sdt>
        <w:sdtPr>
          <w:tag w:val="goog_rdk_2"/>
          <w:id w:val="-661785538"/>
        </w:sdtPr>
        <w:sdtEndPr/>
        <w:sdtContent/>
      </w:sdt>
      <w:r w:rsidR="009C5DD6" w:rsidRPr="00141516">
        <w:rPr>
          <w:rFonts w:ascii="StobiSerif Regular" w:eastAsia="StobiSerif Regular" w:hAnsi="StobiSerif Regular" w:cs="StobiSerif Regular"/>
        </w:rPr>
        <w:t>two</w:t>
      </w:r>
      <w:r w:rsidRPr="00141516">
        <w:rPr>
          <w:rFonts w:ascii="StobiSerif Regular" w:eastAsia="StobiSerif Regular" w:hAnsi="StobiSerif Regular" w:cs="StobiSerif Regular"/>
        </w:rPr>
        <w:t xml:space="preserve"> references </w:t>
      </w:r>
      <w:r w:rsidRPr="00141516">
        <w:rPr>
          <w:rFonts w:ascii="StobiSerif Regular" w:eastAsia="StobiSerif Regular" w:hAnsi="StobiSerif Regular" w:cs="StobiSerif Regular"/>
          <w:b/>
        </w:rPr>
        <w:t xml:space="preserve">via e-mail to </w:t>
      </w:r>
      <w:hyperlink r:id="rId10">
        <w:r w:rsidRPr="00141516">
          <w:rPr>
            <w:rFonts w:ascii="StobiSerif Regular" w:eastAsia="StobiSerif Regular" w:hAnsi="StobiSerif Regular" w:cs="StobiSerif Regular"/>
            <w:b/>
            <w:color w:val="0000FF"/>
            <w:u w:val="single"/>
          </w:rPr>
          <w:t>nipac@sep.gov.mk</w:t>
        </w:r>
      </w:hyperlink>
      <w:r w:rsidRPr="00141516">
        <w:rPr>
          <w:rFonts w:ascii="StobiSerif Regular" w:eastAsia="StobiSerif Regular" w:hAnsi="StobiSerif Regular" w:cs="StobiSerif Regular"/>
          <w:b/>
        </w:rPr>
        <w:t xml:space="preserve">, </w:t>
      </w:r>
      <w:r w:rsidRPr="00141516">
        <w:rPr>
          <w:rFonts w:ascii="StobiSerif Regular" w:eastAsia="StobiSerif Regular" w:hAnsi="StobiSerif Regular" w:cs="StobiSerif Regular"/>
        </w:rPr>
        <w:t>indicating</w:t>
      </w:r>
      <w:r w:rsidRPr="00141516">
        <w:rPr>
          <w:rFonts w:ascii="StobiSerif Regular" w:eastAsia="StobiSerif Regular" w:hAnsi="StobiSerif Regular" w:cs="StobiSerif Regular"/>
          <w:b/>
        </w:rPr>
        <w:t xml:space="preserve"> </w:t>
      </w:r>
      <w:r w:rsidRPr="00141516">
        <w:rPr>
          <w:rFonts w:ascii="StobiSerif Regular" w:eastAsia="StobiSerif Regular" w:hAnsi="StobiSerif Regular" w:cs="StobiSerif Regular"/>
        </w:rPr>
        <w:t xml:space="preserve">in the subject line the </w:t>
      </w:r>
      <w:r w:rsidR="005A14FD">
        <w:rPr>
          <w:rFonts w:ascii="StobiSerif Regular" w:eastAsia="StobiSerif Regular" w:hAnsi="StobiSerif Regular" w:cs="StobiSerif Regular"/>
        </w:rPr>
        <w:t xml:space="preserve">position applied at. </w:t>
      </w:r>
      <w:r w:rsidRPr="00141516">
        <w:rPr>
          <w:rFonts w:ascii="StobiSerif Regular" w:eastAsia="StobiSerif Regular" w:hAnsi="StobiSerif Regular" w:cs="StobiSerif Regular"/>
        </w:rPr>
        <w:t xml:space="preserve">  </w:t>
      </w:r>
    </w:p>
    <w:p w14:paraId="0000005B" w14:textId="77777777" w:rsidR="00C3271E" w:rsidRPr="00141516" w:rsidRDefault="00C3271E" w:rsidP="00C54164">
      <w:pPr>
        <w:spacing w:after="0" w:line="240" w:lineRule="auto"/>
        <w:jc w:val="both"/>
        <w:rPr>
          <w:rFonts w:ascii="StobiSerif Regular" w:eastAsia="StobiSerif Regular" w:hAnsi="StobiSerif Regular" w:cs="StobiSerif Regular"/>
          <w:b/>
        </w:rPr>
      </w:pPr>
    </w:p>
    <w:p w14:paraId="0000005C" w14:textId="77777777" w:rsidR="00C3271E" w:rsidRPr="00141516" w:rsidRDefault="00130B20" w:rsidP="00C54164">
      <w:pPr>
        <w:spacing w:after="0" w:line="240" w:lineRule="auto"/>
        <w:jc w:val="both"/>
      </w:pPr>
      <w:r w:rsidRPr="00141516">
        <w:rPr>
          <w:rFonts w:ascii="StobiSerif Regular" w:eastAsia="StobiSerif Regular" w:hAnsi="StobiSerif Regular" w:cs="StobiSerif Regular"/>
        </w:rPr>
        <w:t xml:space="preserve">Please note that only shortlisted candidates will be contacted. </w:t>
      </w:r>
    </w:p>
    <w:p w14:paraId="0000005D" w14:textId="77777777" w:rsidR="00C3271E" w:rsidRPr="00141516" w:rsidRDefault="00C3271E" w:rsidP="00C54164">
      <w:pPr>
        <w:spacing w:after="0" w:line="240" w:lineRule="auto"/>
        <w:jc w:val="both"/>
        <w:rPr>
          <w:rFonts w:ascii="StobiSerif Regular" w:eastAsia="StobiSerif Regular" w:hAnsi="StobiSerif Regular" w:cs="StobiSerif Regular"/>
          <w:b/>
        </w:rPr>
      </w:pPr>
    </w:p>
    <w:p w14:paraId="0000005E" w14:textId="77777777" w:rsidR="00C3271E" w:rsidRPr="00141516" w:rsidRDefault="00130B20" w:rsidP="00C54164">
      <w:pPr>
        <w:spacing w:after="0" w:line="240" w:lineRule="auto"/>
        <w:jc w:val="both"/>
        <w:rPr>
          <w:rFonts w:ascii="StobiSerif Regular" w:eastAsia="StobiSerif Regular" w:hAnsi="StobiSerif Regular" w:cs="StobiSerif Regular"/>
        </w:rPr>
      </w:pPr>
      <w:r w:rsidRPr="00141516">
        <w:rPr>
          <w:rFonts w:ascii="StobiSerif Regular" w:eastAsia="StobiSerif Regular" w:hAnsi="StobiSerif Regular" w:cs="StobiSerif Regular"/>
        </w:rPr>
        <w:t xml:space="preserve">Candidates must have the right to work in North Macedonia. The Secretariat for European Affairs will support obtaining a work permit if the selected candidates are not citizenship holders of North Macedonia. </w:t>
      </w:r>
    </w:p>
    <w:p w14:paraId="0000005F" w14:textId="77777777" w:rsidR="00C3271E" w:rsidRPr="00141516" w:rsidRDefault="00C3271E">
      <w:pPr>
        <w:spacing w:after="0" w:line="240" w:lineRule="auto"/>
        <w:jc w:val="both"/>
        <w:rPr>
          <w:rFonts w:ascii="StobiSerif Regular" w:eastAsia="StobiSerif Regular" w:hAnsi="StobiSerif Regular" w:cs="StobiSerif Regular"/>
        </w:rPr>
      </w:pPr>
    </w:p>
    <w:p w14:paraId="00000060" w14:textId="77777777" w:rsidR="00C3271E" w:rsidRPr="00141516" w:rsidRDefault="00C3271E">
      <w:pPr>
        <w:spacing w:after="0" w:line="240" w:lineRule="auto"/>
        <w:jc w:val="both"/>
        <w:rPr>
          <w:rFonts w:ascii="StobiSerif Regular" w:eastAsia="StobiSerif Regular" w:hAnsi="StobiSerif Regular" w:cs="StobiSerif Regular"/>
        </w:rPr>
      </w:pPr>
    </w:p>
    <w:p w14:paraId="00000061" w14:textId="77777777" w:rsidR="00C3271E" w:rsidRPr="00141516" w:rsidRDefault="00C3271E">
      <w:pPr>
        <w:spacing w:after="0" w:line="240" w:lineRule="auto"/>
        <w:rPr>
          <w:rFonts w:ascii="StobiSerif Regular" w:eastAsia="StobiSerif Regular" w:hAnsi="StobiSerif Regular" w:cs="StobiSerif Regular"/>
          <w:b/>
        </w:rPr>
      </w:pPr>
    </w:p>
    <w:p w14:paraId="00000062" w14:textId="77777777" w:rsidR="00C3271E" w:rsidRPr="00141516" w:rsidRDefault="00C3271E">
      <w:pPr>
        <w:spacing w:after="0" w:line="240" w:lineRule="auto"/>
        <w:rPr>
          <w:rFonts w:ascii="StobiSerif Regular" w:eastAsia="StobiSerif Regular" w:hAnsi="StobiSerif Regular" w:cs="StobiSerif Regular"/>
          <w:b/>
        </w:rPr>
      </w:pPr>
    </w:p>
    <w:sectPr w:rsidR="00C3271E" w:rsidRPr="00141516" w:rsidSect="00CB7EA0">
      <w:footerReference w:type="default" r:id="rId11"/>
      <w:pgSz w:w="11906" w:h="16838"/>
      <w:pgMar w:top="990" w:right="1417" w:bottom="1417" w:left="1417"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938F88" w14:textId="77777777" w:rsidR="005521E5" w:rsidRDefault="005521E5">
      <w:pPr>
        <w:spacing w:after="0" w:line="240" w:lineRule="auto"/>
      </w:pPr>
      <w:r>
        <w:separator/>
      </w:r>
    </w:p>
  </w:endnote>
  <w:endnote w:type="continuationSeparator" w:id="0">
    <w:p w14:paraId="6FF48898" w14:textId="77777777" w:rsidR="005521E5" w:rsidRDefault="00552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tobiSerif Regular">
    <w:altName w:val="Arial"/>
    <w:panose1 w:val="02000503060000020004"/>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6155122"/>
      <w:docPartObj>
        <w:docPartGallery w:val="Page Numbers (Bottom of Page)"/>
        <w:docPartUnique/>
      </w:docPartObj>
    </w:sdtPr>
    <w:sdtEndPr>
      <w:rPr>
        <w:noProof/>
      </w:rPr>
    </w:sdtEndPr>
    <w:sdtContent>
      <w:p w14:paraId="2349336C" w14:textId="0F2EE4CB" w:rsidR="006C7F38" w:rsidRDefault="006C7F38">
        <w:pPr>
          <w:pStyle w:val="Footer"/>
          <w:jc w:val="right"/>
        </w:pPr>
        <w:r>
          <w:fldChar w:fldCharType="begin"/>
        </w:r>
        <w:r>
          <w:instrText xml:space="preserve"> PAGE   \* MERGEFORMAT </w:instrText>
        </w:r>
        <w:r>
          <w:fldChar w:fldCharType="separate"/>
        </w:r>
        <w:r w:rsidR="00645053">
          <w:rPr>
            <w:noProof/>
          </w:rPr>
          <w:t>4</w:t>
        </w:r>
        <w:r>
          <w:rPr>
            <w:noProof/>
          </w:rPr>
          <w:fldChar w:fldCharType="end"/>
        </w:r>
      </w:p>
    </w:sdtContent>
  </w:sdt>
  <w:p w14:paraId="22F27A5F" w14:textId="77777777" w:rsidR="006C7F38" w:rsidRDefault="006C7F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582229" w14:textId="77777777" w:rsidR="005521E5" w:rsidRDefault="005521E5">
      <w:pPr>
        <w:spacing w:after="0" w:line="240" w:lineRule="auto"/>
      </w:pPr>
      <w:r>
        <w:separator/>
      </w:r>
    </w:p>
  </w:footnote>
  <w:footnote w:type="continuationSeparator" w:id="0">
    <w:p w14:paraId="321227CD" w14:textId="77777777" w:rsidR="005521E5" w:rsidRDefault="005521E5">
      <w:pPr>
        <w:spacing w:after="0" w:line="240" w:lineRule="auto"/>
      </w:pPr>
      <w:r>
        <w:continuationSeparator/>
      </w:r>
    </w:p>
  </w:footnote>
  <w:footnote w:id="1">
    <w:p w14:paraId="00000063" w14:textId="77777777" w:rsidR="00C3271E" w:rsidRDefault="00130B20">
      <w:pPr>
        <w:pBdr>
          <w:top w:val="nil"/>
          <w:left w:val="nil"/>
          <w:bottom w:val="nil"/>
          <w:right w:val="nil"/>
          <w:between w:val="nil"/>
        </w:pBdr>
        <w:spacing w:after="0" w:line="240" w:lineRule="auto"/>
        <w:rPr>
          <w:rFonts w:ascii="StobiSerif Regular" w:eastAsia="StobiSerif Regular" w:hAnsi="StobiSerif Regular" w:cs="StobiSerif Regular"/>
          <w:color w:val="000000"/>
          <w:sz w:val="16"/>
          <w:szCs w:val="16"/>
        </w:rPr>
      </w:pPr>
      <w:r>
        <w:rPr>
          <w:rStyle w:val="FootnoteReference"/>
        </w:rPr>
        <w:footnoteRef/>
      </w:r>
      <w:r>
        <w:rPr>
          <w:rFonts w:ascii="StobiSerif Regular" w:eastAsia="StobiSerif Regular" w:hAnsi="StobiSerif Regular" w:cs="StobiSerif Regular"/>
          <w:color w:val="000000"/>
          <w:sz w:val="16"/>
          <w:szCs w:val="16"/>
        </w:rPr>
        <w:t xml:space="preserve"> </w:t>
      </w:r>
      <w:proofErr w:type="gramStart"/>
      <w:r>
        <w:rPr>
          <w:rFonts w:ascii="StobiSerif Regular" w:eastAsia="StobiSerif Regular" w:hAnsi="StobiSerif Regular" w:cs="StobiSerif Regular"/>
          <w:color w:val="000000"/>
          <w:sz w:val="16"/>
          <w:szCs w:val="16"/>
        </w:rPr>
        <w:t>COM(</w:t>
      </w:r>
      <w:proofErr w:type="gramEnd"/>
      <w:r>
        <w:rPr>
          <w:rFonts w:ascii="StobiSerif Regular" w:eastAsia="StobiSerif Regular" w:hAnsi="StobiSerif Regular" w:cs="StobiSerif Regular"/>
          <w:color w:val="000000"/>
          <w:sz w:val="16"/>
          <w:szCs w:val="16"/>
        </w:rPr>
        <w:t>2014) 357 final and its accompanying Action Plan SWD(2014) 190 final.</w:t>
      </w:r>
    </w:p>
  </w:footnote>
  <w:footnote w:id="2">
    <w:p w14:paraId="00000064" w14:textId="77777777" w:rsidR="00C3271E" w:rsidRDefault="00130B20">
      <w:pPr>
        <w:pBdr>
          <w:top w:val="nil"/>
          <w:left w:val="nil"/>
          <w:bottom w:val="nil"/>
          <w:right w:val="nil"/>
          <w:between w:val="nil"/>
        </w:pBdr>
        <w:spacing w:after="0" w:line="240" w:lineRule="auto"/>
        <w:rPr>
          <w:rFonts w:ascii="StobiSerif Regular" w:eastAsia="StobiSerif Regular" w:hAnsi="StobiSerif Regular" w:cs="StobiSerif Regular"/>
          <w:color w:val="000000"/>
          <w:sz w:val="16"/>
          <w:szCs w:val="16"/>
        </w:rPr>
      </w:pPr>
      <w:r>
        <w:rPr>
          <w:rStyle w:val="FootnoteReference"/>
        </w:rPr>
        <w:footnoteRef/>
      </w:r>
      <w:r>
        <w:rPr>
          <w:rFonts w:ascii="StobiSerif Regular" w:eastAsia="StobiSerif Regular" w:hAnsi="StobiSerif Regular" w:cs="StobiSerif Regular"/>
          <w:color w:val="000000"/>
          <w:sz w:val="16"/>
          <w:szCs w:val="16"/>
        </w:rPr>
        <w:t xml:space="preserve"> http://www.consilium.europa.eu/media/25286/144951.pdf</w:t>
      </w:r>
    </w:p>
  </w:footnote>
  <w:footnote w:id="3">
    <w:p w14:paraId="00000065" w14:textId="77777777" w:rsidR="00C3271E" w:rsidRDefault="00130B20">
      <w:pPr>
        <w:pBdr>
          <w:top w:val="nil"/>
          <w:left w:val="nil"/>
          <w:bottom w:val="nil"/>
          <w:right w:val="nil"/>
          <w:between w:val="nil"/>
        </w:pBdr>
        <w:spacing w:after="0" w:line="240" w:lineRule="auto"/>
        <w:rPr>
          <w:rFonts w:ascii="StobiSerif Regular" w:eastAsia="StobiSerif Regular" w:hAnsi="StobiSerif Regular" w:cs="StobiSerif Regular"/>
          <w:color w:val="000000"/>
          <w:sz w:val="16"/>
          <w:szCs w:val="16"/>
        </w:rPr>
      </w:pPr>
      <w:r>
        <w:rPr>
          <w:rStyle w:val="FootnoteReference"/>
        </w:rPr>
        <w:footnoteRef/>
      </w:r>
      <w:r>
        <w:rPr>
          <w:rFonts w:ascii="StobiSerif Regular" w:eastAsia="StobiSerif Regular" w:hAnsi="StobiSerif Regular" w:cs="StobiSerif Regular"/>
          <w:color w:val="000000"/>
          <w:sz w:val="16"/>
          <w:szCs w:val="16"/>
        </w:rPr>
        <w:t xml:space="preserve"> http://www.consilium.europa.eu/uedocs/cms_data/docs/pressdata/en/ec/145397.pdf, point 25.</w:t>
      </w:r>
    </w:p>
  </w:footnote>
  <w:footnote w:id="4">
    <w:p w14:paraId="00000066" w14:textId="77777777" w:rsidR="00C3271E" w:rsidRDefault="00130B20">
      <w:pPr>
        <w:pBdr>
          <w:top w:val="nil"/>
          <w:left w:val="nil"/>
          <w:bottom w:val="nil"/>
          <w:right w:val="nil"/>
          <w:between w:val="nil"/>
        </w:pBdr>
        <w:spacing w:after="0" w:line="240" w:lineRule="auto"/>
        <w:rPr>
          <w:rFonts w:ascii="StobiSerif Regular" w:eastAsia="StobiSerif Regular" w:hAnsi="StobiSerif Regular" w:cs="StobiSerif Regular"/>
          <w:color w:val="000000"/>
          <w:sz w:val="16"/>
          <w:szCs w:val="16"/>
        </w:rPr>
      </w:pPr>
      <w:r>
        <w:rPr>
          <w:rStyle w:val="FootnoteReference"/>
        </w:rPr>
        <w:footnoteRef/>
      </w:r>
      <w:r>
        <w:rPr>
          <w:rFonts w:ascii="StobiSerif Regular" w:eastAsia="StobiSerif Regular" w:hAnsi="StobiSerif Regular" w:cs="StobiSerif Regular"/>
          <w:color w:val="000000"/>
          <w:sz w:val="16"/>
          <w:szCs w:val="16"/>
        </w:rPr>
        <w:t>https://ec.europa.eu/regional_policy/sources/cooperate/adriat_ionian/pdf/com_2020_132_addendum_north_macedonia_en.pdf</w:t>
      </w:r>
    </w:p>
  </w:footnote>
  <w:footnote w:id="5">
    <w:p w14:paraId="00000067" w14:textId="77777777" w:rsidR="00C3271E" w:rsidRDefault="00130B20">
      <w:pPr>
        <w:pBdr>
          <w:top w:val="nil"/>
          <w:left w:val="nil"/>
          <w:bottom w:val="nil"/>
          <w:right w:val="nil"/>
          <w:between w:val="nil"/>
        </w:pBdr>
        <w:spacing w:after="0" w:line="240" w:lineRule="auto"/>
        <w:rPr>
          <w:color w:val="000000"/>
          <w:sz w:val="20"/>
          <w:szCs w:val="20"/>
        </w:rPr>
      </w:pPr>
      <w:r>
        <w:rPr>
          <w:rStyle w:val="FootnoteReference"/>
        </w:rPr>
        <w:footnoteRef/>
      </w:r>
      <w:r>
        <w:rPr>
          <w:rFonts w:ascii="StobiSerif Regular" w:eastAsia="StobiSerif Regular" w:hAnsi="StobiSerif Regular" w:cs="StobiSerif Regular"/>
          <w:color w:val="000000"/>
          <w:sz w:val="16"/>
          <w:szCs w:val="16"/>
        </w:rPr>
        <w:t xml:space="preserve"> https://eur-lex.europa.eu/legal-content/EN/TXT/?uri=CELEX%3A52022DC0044&amp;qid=1645186528766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A209D"/>
    <w:multiLevelType w:val="multilevel"/>
    <w:tmpl w:val="B48C12A8"/>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9C252C6"/>
    <w:multiLevelType w:val="multilevel"/>
    <w:tmpl w:val="5AA25E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1FD375A"/>
    <w:multiLevelType w:val="multilevel"/>
    <w:tmpl w:val="7EB09F80"/>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71E"/>
    <w:rsid w:val="0008288A"/>
    <w:rsid w:val="00130B20"/>
    <w:rsid w:val="00141516"/>
    <w:rsid w:val="00157FFA"/>
    <w:rsid w:val="001B0370"/>
    <w:rsid w:val="00230B44"/>
    <w:rsid w:val="00252ED2"/>
    <w:rsid w:val="00264BEE"/>
    <w:rsid w:val="00296CDE"/>
    <w:rsid w:val="002F473B"/>
    <w:rsid w:val="00301464"/>
    <w:rsid w:val="003044A6"/>
    <w:rsid w:val="003531B2"/>
    <w:rsid w:val="003534E6"/>
    <w:rsid w:val="003916FC"/>
    <w:rsid w:val="003B16E2"/>
    <w:rsid w:val="00485A4A"/>
    <w:rsid w:val="004A280F"/>
    <w:rsid w:val="004C40DD"/>
    <w:rsid w:val="004E5E2C"/>
    <w:rsid w:val="00523168"/>
    <w:rsid w:val="005521E5"/>
    <w:rsid w:val="005743BC"/>
    <w:rsid w:val="005A14FD"/>
    <w:rsid w:val="005B23BD"/>
    <w:rsid w:val="00645053"/>
    <w:rsid w:val="006A3BBA"/>
    <w:rsid w:val="006C7F38"/>
    <w:rsid w:val="0070014B"/>
    <w:rsid w:val="007D5789"/>
    <w:rsid w:val="00851508"/>
    <w:rsid w:val="00872C1F"/>
    <w:rsid w:val="00885772"/>
    <w:rsid w:val="008D4412"/>
    <w:rsid w:val="008E10B7"/>
    <w:rsid w:val="008E5152"/>
    <w:rsid w:val="009A61DB"/>
    <w:rsid w:val="009C5DD6"/>
    <w:rsid w:val="009D26CB"/>
    <w:rsid w:val="009D4BB3"/>
    <w:rsid w:val="00A87B22"/>
    <w:rsid w:val="00AC6FAE"/>
    <w:rsid w:val="00B55330"/>
    <w:rsid w:val="00BA1FC0"/>
    <w:rsid w:val="00BD00D5"/>
    <w:rsid w:val="00C15F61"/>
    <w:rsid w:val="00C3271E"/>
    <w:rsid w:val="00C54164"/>
    <w:rsid w:val="00C76215"/>
    <w:rsid w:val="00C874D3"/>
    <w:rsid w:val="00CB7EA0"/>
    <w:rsid w:val="00D1050D"/>
    <w:rsid w:val="00D247DC"/>
    <w:rsid w:val="00D51B46"/>
    <w:rsid w:val="00D94EC3"/>
    <w:rsid w:val="00E03A73"/>
    <w:rsid w:val="00E31BA9"/>
    <w:rsid w:val="00E5411E"/>
    <w:rsid w:val="00E567BF"/>
    <w:rsid w:val="00E608F1"/>
    <w:rsid w:val="00E868DA"/>
    <w:rsid w:val="00ED5B68"/>
    <w:rsid w:val="00FC7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D88A05-0CE4-4253-ADBF-17D57F06C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E3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E307D9"/>
    <w:pPr>
      <w:ind w:left="720"/>
      <w:contextualSpacing/>
    </w:pPr>
  </w:style>
  <w:style w:type="paragraph" w:styleId="FootnoteText">
    <w:name w:val="footnote text"/>
    <w:basedOn w:val="Normal"/>
    <w:link w:val="FootnoteTextChar"/>
    <w:uiPriority w:val="99"/>
    <w:semiHidden/>
    <w:unhideWhenUsed/>
    <w:rsid w:val="003F74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7498"/>
    <w:rPr>
      <w:sz w:val="20"/>
      <w:szCs w:val="20"/>
    </w:rPr>
  </w:style>
  <w:style w:type="character" w:styleId="FootnoteReference">
    <w:name w:val="footnote reference"/>
    <w:basedOn w:val="DefaultParagraphFont"/>
    <w:uiPriority w:val="99"/>
    <w:semiHidden/>
    <w:unhideWhenUsed/>
    <w:rsid w:val="003F7498"/>
    <w:rPr>
      <w:vertAlign w:val="superscript"/>
    </w:rPr>
  </w:style>
  <w:style w:type="paragraph" w:styleId="BalloonText">
    <w:name w:val="Balloon Text"/>
    <w:basedOn w:val="Normal"/>
    <w:link w:val="BalloonTextChar"/>
    <w:uiPriority w:val="99"/>
    <w:semiHidden/>
    <w:unhideWhenUsed/>
    <w:rsid w:val="00A235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350A"/>
    <w:rPr>
      <w:rFonts w:ascii="Segoe UI" w:hAnsi="Segoe UI" w:cs="Segoe UI"/>
      <w:sz w:val="18"/>
      <w:szCs w:val="18"/>
    </w:rPr>
  </w:style>
  <w:style w:type="table" w:styleId="TableGrid">
    <w:name w:val="Table Grid"/>
    <w:basedOn w:val="TableNormal"/>
    <w:uiPriority w:val="59"/>
    <w:rsid w:val="005E4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53011"/>
    <w:rPr>
      <w:sz w:val="16"/>
      <w:szCs w:val="16"/>
    </w:rPr>
  </w:style>
  <w:style w:type="paragraph" w:styleId="CommentText">
    <w:name w:val="annotation text"/>
    <w:basedOn w:val="Normal"/>
    <w:link w:val="CommentTextChar"/>
    <w:uiPriority w:val="99"/>
    <w:semiHidden/>
    <w:unhideWhenUsed/>
    <w:rsid w:val="00453011"/>
    <w:pPr>
      <w:spacing w:line="240" w:lineRule="auto"/>
    </w:pPr>
    <w:rPr>
      <w:sz w:val="20"/>
      <w:szCs w:val="20"/>
    </w:rPr>
  </w:style>
  <w:style w:type="character" w:customStyle="1" w:styleId="CommentTextChar">
    <w:name w:val="Comment Text Char"/>
    <w:basedOn w:val="DefaultParagraphFont"/>
    <w:link w:val="CommentText"/>
    <w:uiPriority w:val="99"/>
    <w:semiHidden/>
    <w:rsid w:val="00453011"/>
    <w:rPr>
      <w:sz w:val="20"/>
      <w:szCs w:val="20"/>
    </w:rPr>
  </w:style>
  <w:style w:type="paragraph" w:styleId="CommentSubject">
    <w:name w:val="annotation subject"/>
    <w:basedOn w:val="CommentText"/>
    <w:next w:val="CommentText"/>
    <w:link w:val="CommentSubjectChar"/>
    <w:uiPriority w:val="99"/>
    <w:semiHidden/>
    <w:unhideWhenUsed/>
    <w:rsid w:val="00453011"/>
    <w:rPr>
      <w:b/>
      <w:bCs/>
    </w:rPr>
  </w:style>
  <w:style w:type="character" w:customStyle="1" w:styleId="CommentSubjectChar">
    <w:name w:val="Comment Subject Char"/>
    <w:basedOn w:val="CommentTextChar"/>
    <w:link w:val="CommentSubject"/>
    <w:uiPriority w:val="99"/>
    <w:semiHidden/>
    <w:rsid w:val="00453011"/>
    <w:rPr>
      <w:b/>
      <w:bCs/>
      <w:sz w:val="20"/>
      <w:szCs w:val="20"/>
    </w:rPr>
  </w:style>
  <w:style w:type="paragraph" w:styleId="Revision">
    <w:name w:val="Revision"/>
    <w:hidden/>
    <w:uiPriority w:val="99"/>
    <w:semiHidden/>
    <w:rsid w:val="005E447B"/>
    <w:pPr>
      <w:spacing w:after="0" w:line="240" w:lineRule="auto"/>
    </w:pPr>
  </w:style>
  <w:style w:type="character" w:styleId="Hyperlink">
    <w:name w:val="Hyperlink"/>
    <w:basedOn w:val="DefaultParagraphFont"/>
    <w:uiPriority w:val="99"/>
    <w:unhideWhenUsed/>
    <w:rsid w:val="00DD3338"/>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4E5E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5E2C"/>
  </w:style>
  <w:style w:type="paragraph" w:styleId="Footer">
    <w:name w:val="footer"/>
    <w:basedOn w:val="Normal"/>
    <w:link w:val="FooterChar"/>
    <w:uiPriority w:val="99"/>
    <w:unhideWhenUsed/>
    <w:rsid w:val="004E5E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5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nipac@sep.gov.mk"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XRnsP9riePMClJP/pXFtxeZfRw==">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1082</Words>
  <Characters>6170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 PAOLA Giuseppe (REGIO)</dc:creator>
  <cp:lastModifiedBy>Zuica Zmejkovska</cp:lastModifiedBy>
  <cp:revision>56</cp:revision>
  <cp:lastPrinted>2022-03-21T08:17:00Z</cp:lastPrinted>
  <dcterms:created xsi:type="dcterms:W3CDTF">2022-01-03T13:31:00Z</dcterms:created>
  <dcterms:modified xsi:type="dcterms:W3CDTF">2022-04-15T09:44:00Z</dcterms:modified>
</cp:coreProperties>
</file>