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3A" w:rsidRDefault="00FE413A" w:rsidP="0013651E">
      <w:pPr>
        <w:rPr>
          <w:rFonts w:ascii="Arial Narrow" w:hAnsi="Arial Narrow"/>
          <w:b/>
        </w:rPr>
      </w:pPr>
      <w:r>
        <w:rPr>
          <w:rFonts w:ascii="Arial Narrow" w:hAnsi="Arial Narrow"/>
          <w:b/>
        </w:rPr>
        <w:t xml:space="preserve">Secretariat for European Affairs </w:t>
      </w:r>
    </w:p>
    <w:p w:rsidR="0013651E" w:rsidRDefault="0013651E" w:rsidP="0013651E">
      <w:pPr>
        <w:rPr>
          <w:rFonts w:ascii="Arial Narrow" w:hAnsi="Arial Narrow"/>
          <w:b/>
        </w:rPr>
      </w:pPr>
      <w:r>
        <w:rPr>
          <w:rFonts w:ascii="Arial Narrow" w:hAnsi="Arial Narrow"/>
          <w:b/>
        </w:rPr>
        <w:t>NIPAC office – Monitoring and Evaluation of EU Programmes</w:t>
      </w:r>
      <w:r w:rsidR="0041200F">
        <w:rPr>
          <w:rFonts w:ascii="Arial Narrow" w:hAnsi="Arial Narrow"/>
          <w:b/>
        </w:rPr>
        <w:t xml:space="preserve"> under IPA II</w:t>
      </w:r>
    </w:p>
    <w:p w:rsidR="00044604" w:rsidRDefault="0038620E" w:rsidP="0013651E">
      <w:pPr>
        <w:rPr>
          <w:rFonts w:ascii="Arial Narrow" w:hAnsi="Arial Narrow"/>
          <w:b/>
        </w:rPr>
      </w:pPr>
      <w:r>
        <w:rPr>
          <w:rFonts w:ascii="Arial Narrow" w:hAnsi="Arial Narrow"/>
          <w:b/>
        </w:rPr>
        <w:t xml:space="preserve">Drafted </w:t>
      </w:r>
      <w:r w:rsidR="00CF1394">
        <w:rPr>
          <w:rFonts w:ascii="Arial Narrow" w:hAnsi="Arial Narrow"/>
          <w:b/>
        </w:rPr>
        <w:t xml:space="preserve">10 January </w:t>
      </w:r>
      <w:r w:rsidR="00044604">
        <w:rPr>
          <w:rFonts w:ascii="Arial Narrow" w:hAnsi="Arial Narrow"/>
          <w:b/>
        </w:rPr>
        <w:t>20</w:t>
      </w:r>
      <w:r w:rsidR="00CF1394">
        <w:rPr>
          <w:rFonts w:ascii="Arial Narrow" w:hAnsi="Arial Narrow"/>
          <w:b/>
        </w:rPr>
        <w:t>22</w:t>
      </w:r>
    </w:p>
    <w:p w:rsidR="00207603" w:rsidRPr="0013651E" w:rsidRDefault="005E420A" w:rsidP="005E420A">
      <w:pPr>
        <w:jc w:val="both"/>
        <w:rPr>
          <w:rFonts w:ascii="Arial Narrow" w:hAnsi="Arial Narrow"/>
          <w:b/>
        </w:rPr>
      </w:pPr>
      <w:r>
        <w:rPr>
          <w:rFonts w:ascii="Arial Narrow" w:hAnsi="Arial Narrow"/>
          <w:b/>
        </w:rPr>
        <w:t>New p</w:t>
      </w:r>
      <w:r w:rsidR="0013651E" w:rsidRPr="0013651E">
        <w:rPr>
          <w:rFonts w:ascii="Arial Narrow" w:hAnsi="Arial Narrow"/>
          <w:b/>
        </w:rPr>
        <w:t>roposal</w:t>
      </w:r>
      <w:r>
        <w:rPr>
          <w:rFonts w:ascii="Arial Narrow" w:hAnsi="Arial Narrow"/>
          <w:b/>
        </w:rPr>
        <w:t>s</w:t>
      </w:r>
      <w:r w:rsidR="0013651E" w:rsidRPr="0013651E">
        <w:rPr>
          <w:rFonts w:ascii="Arial Narrow" w:hAnsi="Arial Narrow"/>
          <w:b/>
        </w:rPr>
        <w:t xml:space="preserve"> for 20</w:t>
      </w:r>
      <w:r w:rsidR="00CF1394">
        <w:rPr>
          <w:rFonts w:ascii="Arial Narrow" w:hAnsi="Arial Narrow"/>
          <w:b/>
        </w:rPr>
        <w:t>22</w:t>
      </w:r>
      <w:r w:rsidR="0013651E" w:rsidRPr="0013651E">
        <w:rPr>
          <w:rFonts w:ascii="Arial Narrow" w:hAnsi="Arial Narrow"/>
          <w:b/>
        </w:rPr>
        <w:t xml:space="preserve"> tentative dates for the </w:t>
      </w:r>
      <w:r w:rsidR="00C71477">
        <w:rPr>
          <w:rFonts w:ascii="Arial Narrow" w:hAnsi="Arial Narrow"/>
          <w:b/>
        </w:rPr>
        <w:t xml:space="preserve">IPA Monitoring Committee (MC) and the </w:t>
      </w:r>
      <w:r w:rsidR="0013651E" w:rsidRPr="0013651E">
        <w:rPr>
          <w:rFonts w:ascii="Arial Narrow" w:hAnsi="Arial Narrow"/>
          <w:b/>
        </w:rPr>
        <w:t xml:space="preserve">Sectoral Monitoring Committee </w:t>
      </w:r>
      <w:r w:rsidR="00C71477">
        <w:rPr>
          <w:rFonts w:ascii="Arial Narrow" w:hAnsi="Arial Narrow"/>
          <w:b/>
        </w:rPr>
        <w:t xml:space="preserve">(SMC) </w:t>
      </w:r>
      <w:r w:rsidR="0013651E" w:rsidRPr="0013651E">
        <w:rPr>
          <w:rFonts w:ascii="Arial Narrow" w:hAnsi="Arial Narrow"/>
          <w:b/>
        </w:rPr>
        <w:t>meetings</w:t>
      </w:r>
      <w:r>
        <w:rPr>
          <w:rFonts w:ascii="Arial Narrow" w:hAnsi="Arial Narrow"/>
          <w:b/>
        </w:rPr>
        <w:t xml:space="preserve">. </w:t>
      </w:r>
    </w:p>
    <w:p w:rsidR="0013651E" w:rsidRDefault="0013651E" w:rsidP="0013651E">
      <w:pPr>
        <w:pStyle w:val="ListParagraph"/>
        <w:numPr>
          <w:ilvl w:val="0"/>
          <w:numId w:val="1"/>
        </w:numPr>
        <w:jc w:val="both"/>
        <w:rPr>
          <w:rFonts w:ascii="Arial Narrow" w:hAnsi="Arial Narrow"/>
        </w:rPr>
      </w:pPr>
      <w:r w:rsidRPr="0013651E">
        <w:rPr>
          <w:rFonts w:ascii="Arial Narrow" w:hAnsi="Arial Narrow"/>
        </w:rPr>
        <w:t xml:space="preserve">The IPA I Sector Monitoring committee should be used as an established platform for the SMC under IPA II. </w:t>
      </w:r>
    </w:p>
    <w:p w:rsidR="0013651E" w:rsidRPr="0013651E" w:rsidRDefault="0013651E" w:rsidP="0013651E">
      <w:pPr>
        <w:pStyle w:val="ListParagraph"/>
        <w:numPr>
          <w:ilvl w:val="0"/>
          <w:numId w:val="1"/>
        </w:numPr>
        <w:jc w:val="both"/>
        <w:rPr>
          <w:rFonts w:ascii="Arial Narrow" w:hAnsi="Arial Narrow"/>
        </w:rPr>
      </w:pPr>
      <w:r>
        <w:rPr>
          <w:rFonts w:ascii="Arial Narrow" w:hAnsi="Arial Narrow"/>
        </w:rPr>
        <w:t>The IPA II Sector Monitoring committee should discuss on equal terms the implementation issues</w:t>
      </w:r>
      <w:r w:rsidR="00246D04">
        <w:rPr>
          <w:rFonts w:ascii="Arial Narrow" w:hAnsi="Arial Narrow"/>
        </w:rPr>
        <w:t>,</w:t>
      </w:r>
      <w:r>
        <w:rPr>
          <w:rFonts w:ascii="Arial Narrow" w:hAnsi="Arial Narrow"/>
        </w:rPr>
        <w:t xml:space="preserve"> under direct and indirect management</w:t>
      </w:r>
      <w:r w:rsidR="00246D04">
        <w:rPr>
          <w:rFonts w:ascii="Arial Narrow" w:hAnsi="Arial Narrow"/>
        </w:rPr>
        <w:t>,</w:t>
      </w:r>
      <w:r>
        <w:rPr>
          <w:rFonts w:ascii="Arial Narrow" w:hAnsi="Arial Narrow"/>
        </w:rPr>
        <w:t xml:space="preserve"> provided that all the necessary </w:t>
      </w:r>
      <w:r w:rsidR="00A95D9D">
        <w:rPr>
          <w:rFonts w:ascii="Arial Narrow" w:hAnsi="Arial Narrow"/>
        </w:rPr>
        <w:t xml:space="preserve">and timely </w:t>
      </w:r>
      <w:r>
        <w:rPr>
          <w:rFonts w:ascii="Arial Narrow" w:hAnsi="Arial Narrow"/>
        </w:rPr>
        <w:t xml:space="preserve">data on implementation are collected and properly disseminated to the members of the Sector Monitoring committees.  </w:t>
      </w:r>
    </w:p>
    <w:p w:rsidR="0013651E" w:rsidRPr="0013651E" w:rsidRDefault="00C71477" w:rsidP="00C71477">
      <w:pPr>
        <w:pStyle w:val="ListParagraph"/>
        <w:numPr>
          <w:ilvl w:val="0"/>
          <w:numId w:val="1"/>
        </w:numPr>
        <w:jc w:val="both"/>
        <w:rPr>
          <w:rFonts w:ascii="Arial Narrow" w:hAnsi="Arial Narrow"/>
        </w:rPr>
      </w:pPr>
      <w:r>
        <w:rPr>
          <w:rFonts w:ascii="Arial Narrow" w:hAnsi="Arial Narrow"/>
        </w:rPr>
        <w:t xml:space="preserve">As per Article 53 (1) of the Framework Agreement, in case of </w:t>
      </w:r>
      <w:r w:rsidRPr="00C71477">
        <w:rPr>
          <w:rFonts w:ascii="Arial Narrow" w:hAnsi="Arial Narrow"/>
        </w:rPr>
        <w:t>indirect management by the IPA II beneficiary</w:t>
      </w:r>
      <w:r w:rsidR="00CF1394">
        <w:rPr>
          <w:rFonts w:ascii="Arial Narrow" w:hAnsi="Arial Narrow"/>
        </w:rPr>
        <w:t xml:space="preserve"> </w:t>
      </w:r>
      <w:r>
        <w:rPr>
          <w:rFonts w:ascii="Arial Narrow" w:hAnsi="Arial Narrow"/>
        </w:rPr>
        <w:t>t</w:t>
      </w:r>
      <w:r w:rsidR="0013651E" w:rsidRPr="0013651E">
        <w:rPr>
          <w:rFonts w:ascii="Arial Narrow" w:hAnsi="Arial Narrow"/>
        </w:rPr>
        <w:t>he IPA II SMC should be established 6 months after the signing of the first Fi</w:t>
      </w:r>
      <w:r w:rsidR="00BF4273">
        <w:rPr>
          <w:rFonts w:ascii="Arial Narrow" w:hAnsi="Arial Narrow"/>
        </w:rPr>
        <w:t>nancing Agreement in each sector</w:t>
      </w:r>
      <w:r w:rsidR="0013651E" w:rsidRPr="0013651E">
        <w:rPr>
          <w:rFonts w:ascii="Arial Narrow" w:hAnsi="Arial Narrow"/>
        </w:rPr>
        <w:t xml:space="preserve">.  </w:t>
      </w:r>
    </w:p>
    <w:p w:rsidR="0013651E" w:rsidRPr="0013651E" w:rsidRDefault="0013651E" w:rsidP="0013651E">
      <w:pPr>
        <w:pStyle w:val="ListParagraph"/>
        <w:numPr>
          <w:ilvl w:val="0"/>
          <w:numId w:val="1"/>
        </w:numPr>
        <w:jc w:val="both"/>
        <w:rPr>
          <w:rFonts w:ascii="Arial Narrow" w:hAnsi="Arial Narrow"/>
        </w:rPr>
      </w:pPr>
      <w:r w:rsidRPr="0013651E">
        <w:rPr>
          <w:rFonts w:ascii="Arial Narrow" w:hAnsi="Arial Narrow"/>
        </w:rPr>
        <w:t>The SMC should provide basis for the discussion under the IPA MC</w:t>
      </w:r>
      <w:r w:rsidR="00246D04">
        <w:rPr>
          <w:rFonts w:ascii="Arial Narrow" w:hAnsi="Arial Narrow"/>
        </w:rPr>
        <w:t xml:space="preserve"> meeting</w:t>
      </w:r>
      <w:r w:rsidRPr="0013651E">
        <w:rPr>
          <w:rFonts w:ascii="Arial Narrow" w:hAnsi="Arial Narrow"/>
        </w:rPr>
        <w:t xml:space="preserve">.  </w:t>
      </w:r>
    </w:p>
    <w:p w:rsidR="00F25016" w:rsidRDefault="0013651E" w:rsidP="0013651E">
      <w:pPr>
        <w:pStyle w:val="ListParagraph"/>
        <w:numPr>
          <w:ilvl w:val="0"/>
          <w:numId w:val="1"/>
        </w:numPr>
        <w:jc w:val="both"/>
        <w:rPr>
          <w:rFonts w:ascii="Arial Narrow" w:hAnsi="Arial Narrow"/>
        </w:rPr>
      </w:pPr>
      <w:r w:rsidRPr="0013651E">
        <w:rPr>
          <w:rFonts w:ascii="Arial Narrow" w:hAnsi="Arial Narrow"/>
        </w:rPr>
        <w:t xml:space="preserve">The reporting requirements for drafting IPA II Annual Report on Implementation heavily depends on the issues and information provided by </w:t>
      </w:r>
      <w:r w:rsidR="00246D04">
        <w:rPr>
          <w:rFonts w:ascii="Arial Narrow" w:hAnsi="Arial Narrow"/>
        </w:rPr>
        <w:t xml:space="preserve">and discussed on </w:t>
      </w:r>
      <w:r w:rsidRPr="0013651E">
        <w:rPr>
          <w:rFonts w:ascii="Arial Narrow" w:hAnsi="Arial Narrow"/>
        </w:rPr>
        <w:t xml:space="preserve">the Sector Monitoring committees’ meetings. </w:t>
      </w:r>
    </w:p>
    <w:p w:rsidR="00A95D9D" w:rsidRDefault="00CF1394" w:rsidP="00A95D9D">
      <w:pPr>
        <w:jc w:val="both"/>
        <w:rPr>
          <w:rFonts w:ascii="Arial Narrow" w:hAnsi="Arial Narrow"/>
        </w:rPr>
      </w:pPr>
      <w:r>
        <w:rPr>
          <w:rFonts w:ascii="Arial Narrow" w:hAnsi="Arial Narrow"/>
        </w:rPr>
        <w:t>I</w:t>
      </w:r>
      <w:r w:rsidR="00A95D9D">
        <w:rPr>
          <w:rFonts w:ascii="Arial Narrow" w:hAnsi="Arial Narrow"/>
        </w:rPr>
        <w:t>n 20</w:t>
      </w:r>
      <w:r>
        <w:rPr>
          <w:rFonts w:ascii="Arial Narrow" w:hAnsi="Arial Narrow"/>
        </w:rPr>
        <w:t>22</w:t>
      </w:r>
      <w:r w:rsidR="007C189A">
        <w:rPr>
          <w:rFonts w:ascii="Arial Narrow" w:hAnsi="Arial Narrow"/>
        </w:rPr>
        <w:t xml:space="preserve"> </w:t>
      </w:r>
      <w:r w:rsidR="00246D04">
        <w:rPr>
          <w:rFonts w:ascii="Arial Narrow" w:hAnsi="Arial Narrow"/>
        </w:rPr>
        <w:t xml:space="preserve">(having in view the signed Financing Agreements for different sectors/subsectors), </w:t>
      </w:r>
      <w:r w:rsidR="00A95D9D">
        <w:rPr>
          <w:rFonts w:ascii="Arial Narrow" w:hAnsi="Arial Narrow"/>
        </w:rPr>
        <w:t>there should be:</w:t>
      </w:r>
    </w:p>
    <w:p w:rsidR="00A95D9D" w:rsidRDefault="00A95D9D" w:rsidP="00A95D9D">
      <w:pPr>
        <w:pStyle w:val="ListParagraph"/>
        <w:numPr>
          <w:ilvl w:val="0"/>
          <w:numId w:val="2"/>
        </w:numPr>
        <w:jc w:val="both"/>
        <w:rPr>
          <w:rFonts w:ascii="Arial Narrow" w:hAnsi="Arial Narrow"/>
        </w:rPr>
      </w:pPr>
      <w:r>
        <w:rPr>
          <w:rFonts w:ascii="Arial Narrow" w:hAnsi="Arial Narrow"/>
        </w:rPr>
        <w:t xml:space="preserve">IPA Monitoring </w:t>
      </w:r>
      <w:r w:rsidR="00F25016">
        <w:rPr>
          <w:rFonts w:ascii="Arial Narrow" w:hAnsi="Arial Narrow"/>
        </w:rPr>
        <w:t>C</w:t>
      </w:r>
      <w:r>
        <w:rPr>
          <w:rFonts w:ascii="Arial Narrow" w:hAnsi="Arial Narrow"/>
        </w:rPr>
        <w:t>ommittee meeting once per year;</w:t>
      </w:r>
    </w:p>
    <w:p w:rsidR="00A95D9D" w:rsidRDefault="00A95D9D" w:rsidP="00A95D9D">
      <w:pPr>
        <w:pStyle w:val="ListParagraph"/>
        <w:numPr>
          <w:ilvl w:val="0"/>
          <w:numId w:val="2"/>
        </w:numPr>
        <w:jc w:val="both"/>
        <w:rPr>
          <w:rFonts w:ascii="Arial Narrow" w:hAnsi="Arial Narrow"/>
        </w:rPr>
      </w:pPr>
      <w:r>
        <w:rPr>
          <w:rFonts w:ascii="Arial Narrow" w:hAnsi="Arial Narrow"/>
        </w:rPr>
        <w:t xml:space="preserve">IPA II Sector Monitoring Committee meeting on Rule of Law and Fundamental rights </w:t>
      </w:r>
      <w:r w:rsidR="006C564D">
        <w:rPr>
          <w:rFonts w:ascii="Arial Narrow" w:hAnsi="Arial Narrow"/>
        </w:rPr>
        <w:t xml:space="preserve">–twice </w:t>
      </w:r>
      <w:r>
        <w:rPr>
          <w:rFonts w:ascii="Arial Narrow" w:hAnsi="Arial Narrow"/>
        </w:rPr>
        <w:t xml:space="preserve">per year </w:t>
      </w:r>
    </w:p>
    <w:p w:rsidR="00A95D9D" w:rsidRDefault="00A95D9D" w:rsidP="00A95D9D">
      <w:pPr>
        <w:pStyle w:val="ListParagraph"/>
        <w:numPr>
          <w:ilvl w:val="0"/>
          <w:numId w:val="2"/>
        </w:numPr>
        <w:jc w:val="both"/>
        <w:rPr>
          <w:rFonts w:ascii="Arial Narrow" w:hAnsi="Arial Narrow"/>
        </w:rPr>
      </w:pPr>
      <w:r>
        <w:rPr>
          <w:rFonts w:ascii="Arial Narrow" w:hAnsi="Arial Narrow"/>
        </w:rPr>
        <w:t xml:space="preserve">IPA II Sector Monitoring Committee meeting on Transport and Environment- </w:t>
      </w:r>
      <w:r w:rsidR="006C564D">
        <w:rPr>
          <w:rFonts w:ascii="Arial Narrow" w:hAnsi="Arial Narrow"/>
        </w:rPr>
        <w:t>twice</w:t>
      </w:r>
      <w:r w:rsidR="00FC25BA">
        <w:rPr>
          <w:rFonts w:ascii="Arial Narrow" w:hAnsi="Arial Narrow"/>
        </w:rPr>
        <w:t xml:space="preserve"> </w:t>
      </w:r>
      <w:r>
        <w:rPr>
          <w:rFonts w:ascii="Arial Narrow" w:hAnsi="Arial Narrow"/>
        </w:rPr>
        <w:t xml:space="preserve">per year </w:t>
      </w:r>
    </w:p>
    <w:p w:rsidR="00A95D9D" w:rsidRDefault="00A95D9D" w:rsidP="00A95D9D">
      <w:pPr>
        <w:pStyle w:val="ListParagraph"/>
        <w:numPr>
          <w:ilvl w:val="0"/>
          <w:numId w:val="2"/>
        </w:numPr>
        <w:jc w:val="both"/>
        <w:rPr>
          <w:rFonts w:ascii="Arial Narrow" w:hAnsi="Arial Narrow"/>
        </w:rPr>
      </w:pPr>
      <w:r>
        <w:rPr>
          <w:rFonts w:ascii="Arial Narrow" w:hAnsi="Arial Narrow"/>
        </w:rPr>
        <w:t>IPA II Sector Monitoring Committee meeting on Regional Competitiveness and Innovation</w:t>
      </w:r>
      <w:r w:rsidR="00867B19">
        <w:rPr>
          <w:rFonts w:ascii="Arial Narrow" w:hAnsi="Arial Narrow"/>
        </w:rPr>
        <w:t xml:space="preserve"> and Agriculture</w:t>
      </w:r>
      <w:r>
        <w:rPr>
          <w:rFonts w:ascii="Arial Narrow" w:hAnsi="Arial Narrow"/>
        </w:rPr>
        <w:t>-</w:t>
      </w:r>
      <w:r w:rsidR="006C564D">
        <w:rPr>
          <w:rFonts w:ascii="Arial Narrow" w:hAnsi="Arial Narrow"/>
        </w:rPr>
        <w:t xml:space="preserve">twice </w:t>
      </w:r>
      <w:r w:rsidRPr="00327E97">
        <w:rPr>
          <w:rFonts w:ascii="Arial Narrow" w:hAnsi="Arial Narrow"/>
        </w:rPr>
        <w:t>per year</w:t>
      </w:r>
    </w:p>
    <w:p w:rsidR="002A12B9" w:rsidRDefault="002A12B9" w:rsidP="00A95D9D">
      <w:pPr>
        <w:pStyle w:val="ListParagraph"/>
        <w:numPr>
          <w:ilvl w:val="0"/>
          <w:numId w:val="2"/>
        </w:numPr>
        <w:jc w:val="both"/>
        <w:rPr>
          <w:rFonts w:ascii="Arial Narrow" w:hAnsi="Arial Narrow"/>
        </w:rPr>
      </w:pPr>
      <w:r>
        <w:rPr>
          <w:rFonts w:ascii="Arial Narrow" w:hAnsi="Arial Narrow"/>
        </w:rPr>
        <w:t xml:space="preserve">IPA II Sector Monitoring Committee meeting on </w:t>
      </w:r>
      <w:r w:rsidR="00D15E15">
        <w:rPr>
          <w:rFonts w:ascii="Arial Narrow" w:hAnsi="Arial Narrow"/>
        </w:rPr>
        <w:t xml:space="preserve">Democracy and Governance including </w:t>
      </w:r>
      <w:r>
        <w:rPr>
          <w:rFonts w:ascii="Arial Narrow" w:hAnsi="Arial Narrow"/>
        </w:rPr>
        <w:t xml:space="preserve">Public Administration Reform – </w:t>
      </w:r>
      <w:r w:rsidR="006C564D">
        <w:rPr>
          <w:rFonts w:ascii="Arial Narrow" w:hAnsi="Arial Narrow"/>
        </w:rPr>
        <w:t>twice</w:t>
      </w:r>
      <w:r w:rsidRPr="00327E97">
        <w:rPr>
          <w:rFonts w:ascii="Arial Narrow" w:hAnsi="Arial Narrow"/>
        </w:rPr>
        <w:t xml:space="preserve"> per year</w:t>
      </w:r>
    </w:p>
    <w:p w:rsidR="00A95D9D" w:rsidRDefault="002A12B9" w:rsidP="00B8717E">
      <w:pPr>
        <w:pStyle w:val="ListParagraph"/>
        <w:numPr>
          <w:ilvl w:val="0"/>
          <w:numId w:val="2"/>
        </w:numPr>
        <w:jc w:val="both"/>
        <w:rPr>
          <w:rFonts w:ascii="Arial Narrow" w:hAnsi="Arial Narrow"/>
        </w:rPr>
      </w:pPr>
      <w:r>
        <w:rPr>
          <w:rFonts w:ascii="Arial Narrow" w:hAnsi="Arial Narrow"/>
        </w:rPr>
        <w:t xml:space="preserve">IPA II Sector Monitoring Committee meeting on Education, Employment and Social Policy – </w:t>
      </w:r>
      <w:r w:rsidR="006C564D">
        <w:rPr>
          <w:rFonts w:ascii="Arial Narrow" w:hAnsi="Arial Narrow"/>
        </w:rPr>
        <w:t>twice</w:t>
      </w:r>
      <w:r>
        <w:rPr>
          <w:rFonts w:ascii="Arial Narrow" w:hAnsi="Arial Narrow"/>
        </w:rPr>
        <w:t xml:space="preserve"> per </w:t>
      </w:r>
      <w:r w:rsidR="000628B3">
        <w:rPr>
          <w:rFonts w:ascii="Arial Narrow" w:hAnsi="Arial Narrow"/>
        </w:rPr>
        <w:t>year</w:t>
      </w:r>
    </w:p>
    <w:p w:rsidR="00B8717E" w:rsidRPr="0013651E" w:rsidRDefault="00B8717E" w:rsidP="00B8717E">
      <w:pPr>
        <w:jc w:val="both"/>
        <w:rPr>
          <w:rFonts w:ascii="Arial Narrow" w:hAnsi="Arial Narrow"/>
          <w:b/>
        </w:rPr>
      </w:pPr>
      <w:r>
        <w:rPr>
          <w:rFonts w:ascii="Arial Narrow" w:hAnsi="Arial Narrow"/>
        </w:rPr>
        <w:t xml:space="preserve">The tentative schedule is proposed by the NIPAC office in </w:t>
      </w:r>
      <w:r w:rsidR="00C70BB5">
        <w:rPr>
          <w:rFonts w:ascii="Arial Narrow" w:hAnsi="Arial Narrow"/>
        </w:rPr>
        <w:t>January year</w:t>
      </w:r>
      <w:r>
        <w:rPr>
          <w:rFonts w:ascii="Arial Narrow" w:hAnsi="Arial Narrow"/>
        </w:rPr>
        <w:t xml:space="preserve"> n-1 and agreed with the EUD by beginning of year n. </w:t>
      </w:r>
    </w:p>
    <w:p w:rsidR="00B8717E" w:rsidRPr="0013651E" w:rsidRDefault="00B8717E" w:rsidP="00B8717E">
      <w:pPr>
        <w:jc w:val="both"/>
        <w:rPr>
          <w:rFonts w:ascii="Arial Narrow" w:hAnsi="Arial Narrow"/>
        </w:rPr>
      </w:pPr>
      <w:r>
        <w:rPr>
          <w:rFonts w:ascii="Arial Narrow" w:hAnsi="Arial Narrow"/>
        </w:rPr>
        <w:t xml:space="preserve">The dates agreed for SMC and IPA MC meetings could only be modified in limited and highly exceptional cases.   </w:t>
      </w:r>
    </w:p>
    <w:p w:rsidR="00B8717E" w:rsidRDefault="00B8717E" w:rsidP="00B8717E">
      <w:pPr>
        <w:jc w:val="both"/>
        <w:rPr>
          <w:rFonts w:ascii="Arial Narrow" w:hAnsi="Arial Narrow"/>
        </w:rPr>
      </w:pPr>
    </w:p>
    <w:p w:rsidR="006C564D" w:rsidRDefault="006C564D" w:rsidP="00B8717E">
      <w:pPr>
        <w:jc w:val="both"/>
        <w:rPr>
          <w:rFonts w:ascii="Arial Narrow" w:hAnsi="Arial Narrow"/>
        </w:rPr>
      </w:pPr>
    </w:p>
    <w:p w:rsidR="006C564D" w:rsidRDefault="006C564D" w:rsidP="00B8717E">
      <w:pPr>
        <w:jc w:val="both"/>
        <w:rPr>
          <w:rFonts w:ascii="Arial Narrow" w:hAnsi="Arial Narrow"/>
        </w:rPr>
      </w:pPr>
    </w:p>
    <w:p w:rsidR="002079A7" w:rsidRDefault="002079A7" w:rsidP="00B8717E">
      <w:pPr>
        <w:jc w:val="both"/>
        <w:rPr>
          <w:rFonts w:ascii="Arial Narrow" w:hAnsi="Arial Narrow"/>
        </w:rPr>
      </w:pPr>
    </w:p>
    <w:p w:rsidR="00B8717E" w:rsidRPr="00B8717E" w:rsidRDefault="00B8717E" w:rsidP="00B8717E">
      <w:pPr>
        <w:jc w:val="both"/>
        <w:rPr>
          <w:rFonts w:ascii="Arial Narrow" w:hAnsi="Arial Narrow"/>
        </w:rPr>
      </w:pPr>
    </w:p>
    <w:tbl>
      <w:tblPr>
        <w:tblStyle w:val="TableGrid"/>
        <w:tblW w:w="10620" w:type="dxa"/>
        <w:tblInd w:w="-905" w:type="dxa"/>
        <w:tblLook w:val="04A0" w:firstRow="1" w:lastRow="0" w:firstColumn="1" w:lastColumn="0" w:noHBand="0" w:noVBand="1"/>
      </w:tblPr>
      <w:tblGrid>
        <w:gridCol w:w="630"/>
        <w:gridCol w:w="3510"/>
        <w:gridCol w:w="1980"/>
        <w:gridCol w:w="1800"/>
        <w:gridCol w:w="2700"/>
      </w:tblGrid>
      <w:tr w:rsidR="00C559ED" w:rsidRPr="00807753" w:rsidTr="002079A7">
        <w:tc>
          <w:tcPr>
            <w:tcW w:w="630" w:type="dxa"/>
          </w:tcPr>
          <w:p w:rsidR="00C559ED" w:rsidRPr="00807753" w:rsidRDefault="00C559ED">
            <w:pPr>
              <w:rPr>
                <w:rFonts w:ascii="Arial Narrow" w:hAnsi="Arial Narrow"/>
                <w:b/>
              </w:rPr>
            </w:pPr>
            <w:r w:rsidRPr="00807753">
              <w:rPr>
                <w:rFonts w:ascii="Arial Narrow" w:hAnsi="Arial Narrow"/>
                <w:b/>
              </w:rPr>
              <w:lastRenderedPageBreak/>
              <w:t>No.</w:t>
            </w:r>
          </w:p>
        </w:tc>
        <w:tc>
          <w:tcPr>
            <w:tcW w:w="3510" w:type="dxa"/>
          </w:tcPr>
          <w:p w:rsidR="00C559ED" w:rsidRPr="00807753" w:rsidRDefault="0072128F">
            <w:pPr>
              <w:rPr>
                <w:rFonts w:ascii="Arial Narrow" w:hAnsi="Arial Narrow"/>
                <w:b/>
              </w:rPr>
            </w:pPr>
            <w:r>
              <w:rPr>
                <w:rFonts w:ascii="Arial Narrow" w:hAnsi="Arial Narrow"/>
                <w:b/>
              </w:rPr>
              <w:t>Monitoring</w:t>
            </w:r>
            <w:r w:rsidR="00F743FC">
              <w:rPr>
                <w:rFonts w:ascii="Arial Narrow" w:hAnsi="Arial Narrow"/>
                <w:b/>
              </w:rPr>
              <w:t>/Sector Monitoring Committee</w:t>
            </w:r>
          </w:p>
        </w:tc>
        <w:tc>
          <w:tcPr>
            <w:tcW w:w="1980" w:type="dxa"/>
          </w:tcPr>
          <w:p w:rsidR="00C559ED" w:rsidRPr="00807753" w:rsidRDefault="00C559ED" w:rsidP="00A840E8">
            <w:pPr>
              <w:rPr>
                <w:rFonts w:ascii="Arial Narrow" w:hAnsi="Arial Narrow"/>
                <w:b/>
              </w:rPr>
            </w:pPr>
            <w:r w:rsidRPr="00807753">
              <w:rPr>
                <w:rFonts w:ascii="Arial Narrow" w:hAnsi="Arial Narrow"/>
                <w:b/>
              </w:rPr>
              <w:t>Provisional date</w:t>
            </w:r>
            <w:r w:rsidRPr="00807753">
              <w:rPr>
                <w:rStyle w:val="FootnoteReference"/>
                <w:rFonts w:ascii="Arial Narrow" w:hAnsi="Arial Narrow"/>
                <w:b/>
              </w:rPr>
              <w:footnoteReference w:id="1"/>
            </w:r>
            <w:r w:rsidR="007E6A41">
              <w:rPr>
                <w:rFonts w:ascii="Arial Narrow" w:hAnsi="Arial Narrow"/>
                <w:b/>
              </w:rPr>
              <w:t xml:space="preserve"> </w:t>
            </w:r>
            <w:r w:rsidR="00807753" w:rsidRPr="00807753">
              <w:rPr>
                <w:rFonts w:ascii="Arial Narrow" w:hAnsi="Arial Narrow"/>
                <w:b/>
              </w:rPr>
              <w:t xml:space="preserve">proposed by NIPAC office </w:t>
            </w:r>
          </w:p>
        </w:tc>
        <w:tc>
          <w:tcPr>
            <w:tcW w:w="1800" w:type="dxa"/>
          </w:tcPr>
          <w:p w:rsidR="00C559ED" w:rsidRPr="00807753" w:rsidRDefault="00807753">
            <w:pPr>
              <w:rPr>
                <w:rFonts w:ascii="Arial Narrow" w:hAnsi="Arial Narrow"/>
                <w:b/>
              </w:rPr>
            </w:pPr>
            <w:r w:rsidRPr="00807753">
              <w:rPr>
                <w:rFonts w:ascii="Arial Narrow" w:hAnsi="Arial Narrow"/>
                <w:b/>
              </w:rPr>
              <w:t xml:space="preserve">Final date in agreement with EUD </w:t>
            </w:r>
          </w:p>
        </w:tc>
        <w:tc>
          <w:tcPr>
            <w:tcW w:w="2700" w:type="dxa"/>
          </w:tcPr>
          <w:p w:rsidR="00C559ED" w:rsidRPr="00807753" w:rsidRDefault="00C559ED">
            <w:pPr>
              <w:rPr>
                <w:rFonts w:ascii="Arial Narrow" w:hAnsi="Arial Narrow"/>
                <w:b/>
              </w:rPr>
            </w:pPr>
            <w:r w:rsidRPr="00807753">
              <w:rPr>
                <w:rFonts w:ascii="Arial Narrow" w:hAnsi="Arial Narrow"/>
                <w:b/>
              </w:rPr>
              <w:t>Comment</w:t>
            </w:r>
          </w:p>
        </w:tc>
      </w:tr>
      <w:tr w:rsidR="002079A7" w:rsidRPr="0013651E" w:rsidTr="002079A7">
        <w:trPr>
          <w:trHeight w:val="1142"/>
        </w:trPr>
        <w:tc>
          <w:tcPr>
            <w:tcW w:w="630" w:type="dxa"/>
          </w:tcPr>
          <w:p w:rsidR="002079A7" w:rsidRPr="0013651E" w:rsidRDefault="002079A7" w:rsidP="002079A7">
            <w:pPr>
              <w:rPr>
                <w:rFonts w:ascii="Arial Narrow" w:hAnsi="Arial Narrow"/>
              </w:rPr>
            </w:pPr>
            <w:r>
              <w:rPr>
                <w:rFonts w:ascii="Arial Narrow" w:hAnsi="Arial Narrow"/>
              </w:rPr>
              <w:t>1</w:t>
            </w:r>
          </w:p>
        </w:tc>
        <w:tc>
          <w:tcPr>
            <w:tcW w:w="3510" w:type="dxa"/>
          </w:tcPr>
          <w:p w:rsidR="002079A7" w:rsidRPr="0013651E" w:rsidRDefault="002079A7" w:rsidP="002079A7">
            <w:pPr>
              <w:rPr>
                <w:rFonts w:ascii="Arial Narrow" w:hAnsi="Arial Narrow"/>
              </w:rPr>
            </w:pPr>
            <w:r w:rsidRPr="0013651E">
              <w:rPr>
                <w:rFonts w:ascii="Arial Narrow" w:hAnsi="Arial Narrow"/>
              </w:rPr>
              <w:t>I</w:t>
            </w:r>
            <w:r>
              <w:rPr>
                <w:rFonts w:ascii="Arial Narrow" w:hAnsi="Arial Narrow"/>
              </w:rPr>
              <w:t>PA Monitoring Committee meeting</w:t>
            </w:r>
          </w:p>
        </w:tc>
        <w:tc>
          <w:tcPr>
            <w:tcW w:w="1980" w:type="dxa"/>
          </w:tcPr>
          <w:p w:rsidR="002079A7" w:rsidRDefault="002079A7" w:rsidP="002079A7">
            <w:pPr>
              <w:rPr>
                <w:rFonts w:ascii="Arial Narrow" w:hAnsi="Arial Narrow"/>
              </w:rPr>
            </w:pPr>
            <w:r>
              <w:rPr>
                <w:rFonts w:ascii="Arial Narrow" w:hAnsi="Arial Narrow"/>
              </w:rPr>
              <w:t>7</w:t>
            </w:r>
            <w:r w:rsidRPr="008D51BA">
              <w:rPr>
                <w:rFonts w:ascii="Arial Narrow" w:hAnsi="Arial Narrow"/>
                <w:vertAlign w:val="superscript"/>
              </w:rPr>
              <w:t>th</w:t>
            </w:r>
            <w:r>
              <w:rPr>
                <w:rFonts w:ascii="Arial Narrow" w:hAnsi="Arial Narrow"/>
              </w:rPr>
              <w:t xml:space="preserve"> meeting </w:t>
            </w:r>
          </w:p>
          <w:p w:rsidR="002079A7" w:rsidRPr="002D01AC" w:rsidRDefault="002079A7" w:rsidP="002079A7">
            <w:pPr>
              <w:rPr>
                <w:rFonts w:ascii="Arial Narrow" w:hAnsi="Arial Narrow"/>
                <w:vertAlign w:val="superscript"/>
              </w:rPr>
            </w:pPr>
            <w:r>
              <w:rPr>
                <w:rFonts w:ascii="Arial Narrow" w:hAnsi="Arial Narrow"/>
              </w:rPr>
              <w:t>22 March 2022</w:t>
            </w:r>
          </w:p>
        </w:tc>
        <w:tc>
          <w:tcPr>
            <w:tcW w:w="1800" w:type="dxa"/>
          </w:tcPr>
          <w:p w:rsidR="002079A7" w:rsidRDefault="002079A7" w:rsidP="002079A7">
            <w:pPr>
              <w:rPr>
                <w:rFonts w:ascii="Arial Narrow" w:hAnsi="Arial Narrow"/>
              </w:rPr>
            </w:pPr>
            <w:r>
              <w:rPr>
                <w:rFonts w:ascii="Arial Narrow" w:hAnsi="Arial Narrow"/>
              </w:rPr>
              <w:t>7</w:t>
            </w:r>
            <w:r w:rsidRPr="008D51BA">
              <w:rPr>
                <w:rFonts w:ascii="Arial Narrow" w:hAnsi="Arial Narrow"/>
                <w:vertAlign w:val="superscript"/>
              </w:rPr>
              <w:t>th</w:t>
            </w:r>
            <w:r>
              <w:rPr>
                <w:rFonts w:ascii="Arial Narrow" w:hAnsi="Arial Narrow"/>
              </w:rPr>
              <w:t xml:space="preserve"> meeting </w:t>
            </w:r>
          </w:p>
          <w:p w:rsidR="002079A7" w:rsidRPr="002D01AC" w:rsidRDefault="002079A7" w:rsidP="002079A7">
            <w:pPr>
              <w:rPr>
                <w:rFonts w:ascii="Arial Narrow" w:hAnsi="Arial Narrow"/>
                <w:vertAlign w:val="superscript"/>
              </w:rPr>
            </w:pPr>
            <w:r>
              <w:rPr>
                <w:rFonts w:ascii="Arial Narrow" w:hAnsi="Arial Narrow"/>
              </w:rPr>
              <w:t>22 March 2022</w:t>
            </w:r>
          </w:p>
        </w:tc>
        <w:tc>
          <w:tcPr>
            <w:tcW w:w="2700" w:type="dxa"/>
          </w:tcPr>
          <w:p w:rsidR="002079A7" w:rsidRPr="005B2396" w:rsidRDefault="002079A7" w:rsidP="002079A7">
            <w:pPr>
              <w:jc w:val="both"/>
              <w:rPr>
                <w:rFonts w:ascii="Arial Narrow" w:hAnsi="Arial Narrow"/>
                <w:color w:val="FF0000"/>
              </w:rPr>
            </w:pPr>
            <w:r>
              <w:rPr>
                <w:rFonts w:ascii="Arial Narrow" w:hAnsi="Arial Narrow"/>
              </w:rPr>
              <w:t xml:space="preserve">The IPA I TAIB and IPA II annual reports on implementation facilitate the  discussions on IPA implementation in the IPA MC. </w:t>
            </w:r>
          </w:p>
        </w:tc>
      </w:tr>
      <w:tr w:rsidR="002079A7" w:rsidRPr="0013651E" w:rsidTr="002079A7">
        <w:trPr>
          <w:trHeight w:val="675"/>
        </w:trPr>
        <w:tc>
          <w:tcPr>
            <w:tcW w:w="630" w:type="dxa"/>
            <w:vMerge w:val="restart"/>
          </w:tcPr>
          <w:p w:rsidR="002079A7" w:rsidRDefault="002079A7" w:rsidP="002079A7">
            <w:pPr>
              <w:rPr>
                <w:rFonts w:ascii="Arial Narrow" w:hAnsi="Arial Narrow"/>
              </w:rPr>
            </w:pPr>
            <w:r>
              <w:rPr>
                <w:rFonts w:ascii="Arial Narrow" w:hAnsi="Arial Narrow"/>
              </w:rPr>
              <w:t>2</w:t>
            </w:r>
          </w:p>
        </w:tc>
        <w:tc>
          <w:tcPr>
            <w:tcW w:w="3510" w:type="dxa"/>
            <w:vMerge w:val="restart"/>
          </w:tcPr>
          <w:p w:rsidR="002079A7" w:rsidRPr="008D51BA" w:rsidRDefault="002079A7" w:rsidP="002079A7">
            <w:pPr>
              <w:rPr>
                <w:rFonts w:ascii="Arial Narrow" w:hAnsi="Arial Narrow"/>
              </w:rPr>
            </w:pPr>
            <w:r w:rsidRPr="008D51BA">
              <w:rPr>
                <w:rFonts w:ascii="Arial Narrow" w:hAnsi="Arial Narrow"/>
              </w:rPr>
              <w:t xml:space="preserve">IPA II </w:t>
            </w:r>
            <w:r>
              <w:rPr>
                <w:rFonts w:ascii="Arial Narrow" w:hAnsi="Arial Narrow"/>
              </w:rPr>
              <w:t>Sector</w:t>
            </w:r>
            <w:r w:rsidRPr="008D51BA">
              <w:rPr>
                <w:rFonts w:ascii="Arial Narrow" w:hAnsi="Arial Narrow"/>
              </w:rPr>
              <w:t xml:space="preserve"> Monitoring committee on Rule of Law and Fundamental rights</w:t>
            </w:r>
          </w:p>
        </w:tc>
        <w:tc>
          <w:tcPr>
            <w:tcW w:w="1980" w:type="dxa"/>
          </w:tcPr>
          <w:p w:rsidR="002079A7" w:rsidRDefault="002079A7" w:rsidP="002079A7">
            <w:pPr>
              <w:rPr>
                <w:rFonts w:ascii="Arial Narrow" w:hAnsi="Arial Narrow"/>
              </w:rPr>
            </w:pPr>
            <w:r>
              <w:rPr>
                <w:rFonts w:ascii="Arial Narrow" w:hAnsi="Arial Narrow"/>
              </w:rPr>
              <w:t>6</w:t>
            </w:r>
            <w:r w:rsidRPr="008D51BA">
              <w:rPr>
                <w:rFonts w:ascii="Arial Narrow" w:hAnsi="Arial Narrow"/>
                <w:vertAlign w:val="superscript"/>
              </w:rPr>
              <w:t>th</w:t>
            </w:r>
            <w:r>
              <w:rPr>
                <w:rFonts w:ascii="Arial Narrow" w:hAnsi="Arial Narrow"/>
              </w:rPr>
              <w:t xml:space="preserve"> meeting </w:t>
            </w:r>
          </w:p>
          <w:p w:rsidR="002079A7" w:rsidRPr="0013651E" w:rsidRDefault="002079A7" w:rsidP="002079A7">
            <w:pPr>
              <w:rPr>
                <w:rFonts w:ascii="Arial Narrow" w:hAnsi="Arial Narrow"/>
              </w:rPr>
            </w:pPr>
            <w:r>
              <w:rPr>
                <w:rFonts w:ascii="Arial Narrow" w:hAnsi="Arial Narrow"/>
              </w:rPr>
              <w:t>12 April 2022</w:t>
            </w:r>
          </w:p>
        </w:tc>
        <w:tc>
          <w:tcPr>
            <w:tcW w:w="1800" w:type="dxa"/>
          </w:tcPr>
          <w:p w:rsidR="002079A7" w:rsidRDefault="002079A7" w:rsidP="002079A7">
            <w:pPr>
              <w:rPr>
                <w:rFonts w:ascii="Arial Narrow" w:hAnsi="Arial Narrow"/>
              </w:rPr>
            </w:pPr>
            <w:r>
              <w:rPr>
                <w:rFonts w:ascii="Arial Narrow" w:hAnsi="Arial Narrow"/>
              </w:rPr>
              <w:t>6</w:t>
            </w:r>
            <w:r w:rsidRPr="008D51BA">
              <w:rPr>
                <w:rFonts w:ascii="Arial Narrow" w:hAnsi="Arial Narrow"/>
                <w:vertAlign w:val="superscript"/>
              </w:rPr>
              <w:t>th</w:t>
            </w:r>
            <w:r>
              <w:rPr>
                <w:rFonts w:ascii="Arial Narrow" w:hAnsi="Arial Narrow"/>
              </w:rPr>
              <w:t xml:space="preserve"> meeting </w:t>
            </w:r>
          </w:p>
          <w:p w:rsidR="002079A7" w:rsidRPr="0013651E" w:rsidRDefault="002079A7" w:rsidP="002079A7">
            <w:pPr>
              <w:rPr>
                <w:rFonts w:ascii="Arial Narrow" w:hAnsi="Arial Narrow"/>
              </w:rPr>
            </w:pPr>
            <w:r>
              <w:rPr>
                <w:rFonts w:ascii="Arial Narrow" w:hAnsi="Arial Narrow"/>
              </w:rPr>
              <w:t>12 April 2022</w:t>
            </w:r>
          </w:p>
        </w:tc>
        <w:tc>
          <w:tcPr>
            <w:tcW w:w="2700" w:type="dxa"/>
            <w:vMerge w:val="restart"/>
          </w:tcPr>
          <w:p w:rsidR="002079A7" w:rsidRPr="0013651E" w:rsidRDefault="002079A7" w:rsidP="002079A7">
            <w:pPr>
              <w:rPr>
                <w:rFonts w:ascii="Arial Narrow" w:hAnsi="Arial Narrow"/>
              </w:rPr>
            </w:pPr>
            <w:r>
              <w:rPr>
                <w:rFonts w:ascii="Arial Narrow" w:hAnsi="Arial Narrow"/>
              </w:rPr>
              <w:t>Background materials for the status of implementation including any issues.</w:t>
            </w:r>
          </w:p>
        </w:tc>
      </w:tr>
      <w:tr w:rsidR="002079A7" w:rsidRPr="0013651E" w:rsidTr="002079A7">
        <w:trPr>
          <w:trHeight w:val="647"/>
        </w:trPr>
        <w:tc>
          <w:tcPr>
            <w:tcW w:w="630" w:type="dxa"/>
            <w:vMerge/>
          </w:tcPr>
          <w:p w:rsidR="002079A7" w:rsidRDefault="002079A7" w:rsidP="002079A7">
            <w:pPr>
              <w:rPr>
                <w:rFonts w:ascii="Arial Narrow" w:hAnsi="Arial Narrow"/>
              </w:rPr>
            </w:pPr>
          </w:p>
        </w:tc>
        <w:tc>
          <w:tcPr>
            <w:tcW w:w="3510" w:type="dxa"/>
            <w:vMerge/>
          </w:tcPr>
          <w:p w:rsidR="002079A7" w:rsidRPr="008D51BA" w:rsidRDefault="002079A7" w:rsidP="002079A7">
            <w:pPr>
              <w:rPr>
                <w:rFonts w:ascii="Arial Narrow" w:hAnsi="Arial Narrow"/>
              </w:rPr>
            </w:pPr>
          </w:p>
        </w:tc>
        <w:tc>
          <w:tcPr>
            <w:tcW w:w="1980" w:type="dxa"/>
          </w:tcPr>
          <w:p w:rsidR="002079A7" w:rsidRDefault="002079A7" w:rsidP="002079A7">
            <w:pPr>
              <w:rPr>
                <w:rFonts w:ascii="Arial Narrow" w:hAnsi="Arial Narrow"/>
              </w:rPr>
            </w:pPr>
            <w:r>
              <w:rPr>
                <w:rFonts w:ascii="Arial Narrow" w:hAnsi="Arial Narrow"/>
              </w:rPr>
              <w:t>7</w:t>
            </w:r>
            <w:r w:rsidRPr="008D51BA">
              <w:rPr>
                <w:rFonts w:ascii="Arial Narrow" w:hAnsi="Arial Narrow"/>
                <w:vertAlign w:val="superscript"/>
              </w:rPr>
              <w:t>th</w:t>
            </w:r>
            <w:r>
              <w:rPr>
                <w:rFonts w:ascii="Arial Narrow" w:hAnsi="Arial Narrow"/>
              </w:rPr>
              <w:t xml:space="preserve"> meeting</w:t>
            </w:r>
          </w:p>
          <w:p w:rsidR="002079A7" w:rsidRDefault="002079A7" w:rsidP="002079A7">
            <w:pPr>
              <w:rPr>
                <w:rFonts w:ascii="Arial Narrow" w:hAnsi="Arial Narrow"/>
              </w:rPr>
            </w:pPr>
            <w:r>
              <w:rPr>
                <w:rFonts w:ascii="Arial Narrow" w:hAnsi="Arial Narrow"/>
              </w:rPr>
              <w:t>4 October 2022</w:t>
            </w:r>
          </w:p>
        </w:tc>
        <w:tc>
          <w:tcPr>
            <w:tcW w:w="1800" w:type="dxa"/>
          </w:tcPr>
          <w:p w:rsidR="002079A7" w:rsidRDefault="002079A7" w:rsidP="002079A7">
            <w:pPr>
              <w:rPr>
                <w:rFonts w:ascii="Arial Narrow" w:hAnsi="Arial Narrow"/>
              </w:rPr>
            </w:pPr>
            <w:r>
              <w:rPr>
                <w:rFonts w:ascii="Arial Narrow" w:hAnsi="Arial Narrow"/>
              </w:rPr>
              <w:t>7</w:t>
            </w:r>
            <w:r w:rsidRPr="008D51BA">
              <w:rPr>
                <w:rFonts w:ascii="Arial Narrow" w:hAnsi="Arial Narrow"/>
                <w:vertAlign w:val="superscript"/>
              </w:rPr>
              <w:t>th</w:t>
            </w:r>
            <w:r>
              <w:rPr>
                <w:rFonts w:ascii="Arial Narrow" w:hAnsi="Arial Narrow"/>
              </w:rPr>
              <w:t xml:space="preserve"> meeting</w:t>
            </w:r>
          </w:p>
          <w:p w:rsidR="002079A7" w:rsidRDefault="002079A7" w:rsidP="002079A7">
            <w:pPr>
              <w:rPr>
                <w:rFonts w:ascii="Arial Narrow" w:hAnsi="Arial Narrow"/>
              </w:rPr>
            </w:pPr>
            <w:r>
              <w:rPr>
                <w:rFonts w:ascii="Arial Narrow" w:hAnsi="Arial Narrow"/>
              </w:rPr>
              <w:t>4 October 2022</w:t>
            </w:r>
          </w:p>
        </w:tc>
        <w:tc>
          <w:tcPr>
            <w:tcW w:w="2700" w:type="dxa"/>
            <w:vMerge/>
          </w:tcPr>
          <w:p w:rsidR="002079A7" w:rsidRDefault="002079A7" w:rsidP="002079A7">
            <w:pPr>
              <w:rPr>
                <w:rFonts w:ascii="Arial Narrow" w:hAnsi="Arial Narrow"/>
              </w:rPr>
            </w:pPr>
          </w:p>
        </w:tc>
      </w:tr>
      <w:tr w:rsidR="002079A7" w:rsidRPr="0013651E" w:rsidTr="002079A7">
        <w:trPr>
          <w:trHeight w:val="630"/>
        </w:trPr>
        <w:tc>
          <w:tcPr>
            <w:tcW w:w="630" w:type="dxa"/>
            <w:vMerge w:val="restart"/>
          </w:tcPr>
          <w:p w:rsidR="002079A7" w:rsidRPr="0013651E" w:rsidRDefault="002079A7" w:rsidP="002079A7">
            <w:pPr>
              <w:rPr>
                <w:rFonts w:ascii="Arial Narrow" w:hAnsi="Arial Narrow"/>
              </w:rPr>
            </w:pPr>
            <w:r>
              <w:rPr>
                <w:rFonts w:ascii="Arial Narrow" w:hAnsi="Arial Narrow"/>
              </w:rPr>
              <w:t xml:space="preserve">3. </w:t>
            </w:r>
          </w:p>
        </w:tc>
        <w:tc>
          <w:tcPr>
            <w:tcW w:w="3510" w:type="dxa"/>
            <w:vMerge w:val="restart"/>
          </w:tcPr>
          <w:p w:rsidR="002079A7" w:rsidRPr="008D51BA" w:rsidRDefault="002079A7" w:rsidP="002079A7">
            <w:pPr>
              <w:rPr>
                <w:rFonts w:ascii="Arial Narrow" w:hAnsi="Arial Narrow"/>
              </w:rPr>
            </w:pPr>
            <w:r w:rsidRPr="008D51BA">
              <w:rPr>
                <w:rFonts w:ascii="Arial Narrow" w:hAnsi="Arial Narrow"/>
              </w:rPr>
              <w:t>IPA II Sector Monitoring Committee meeting on Transport and Environment</w:t>
            </w:r>
          </w:p>
        </w:tc>
        <w:tc>
          <w:tcPr>
            <w:tcW w:w="1980" w:type="dxa"/>
          </w:tcPr>
          <w:p w:rsidR="002079A7" w:rsidRDefault="002079A7" w:rsidP="002079A7">
            <w:pPr>
              <w:rPr>
                <w:rFonts w:ascii="Arial Narrow" w:hAnsi="Arial Narrow"/>
              </w:rPr>
            </w:pPr>
            <w:r>
              <w:rPr>
                <w:rFonts w:ascii="Arial Narrow" w:hAnsi="Arial Narrow"/>
              </w:rPr>
              <w:t>7</w:t>
            </w:r>
            <w:r w:rsidRPr="008D51BA">
              <w:rPr>
                <w:rFonts w:ascii="Arial Narrow" w:hAnsi="Arial Narrow"/>
                <w:vertAlign w:val="superscript"/>
              </w:rPr>
              <w:t>th</w:t>
            </w:r>
            <w:r>
              <w:rPr>
                <w:rFonts w:ascii="Arial Narrow" w:hAnsi="Arial Narrow"/>
              </w:rPr>
              <w:t xml:space="preserve"> meeting</w:t>
            </w:r>
          </w:p>
          <w:p w:rsidR="002079A7" w:rsidRPr="0013651E" w:rsidRDefault="002079A7" w:rsidP="002079A7">
            <w:pPr>
              <w:rPr>
                <w:rFonts w:ascii="Arial Narrow" w:hAnsi="Arial Narrow"/>
              </w:rPr>
            </w:pPr>
            <w:r>
              <w:rPr>
                <w:rFonts w:ascii="Arial Narrow" w:hAnsi="Arial Narrow"/>
              </w:rPr>
              <w:t>1</w:t>
            </w:r>
            <w:r w:rsidR="00D87507">
              <w:rPr>
                <w:rFonts w:ascii="Arial Narrow" w:hAnsi="Arial Narrow"/>
                <w:lang w:val="mk-MK"/>
              </w:rPr>
              <w:t>3</w:t>
            </w:r>
            <w:bookmarkStart w:id="0" w:name="_GoBack"/>
            <w:bookmarkEnd w:id="0"/>
            <w:r>
              <w:rPr>
                <w:rFonts w:ascii="Arial Narrow" w:hAnsi="Arial Narrow"/>
              </w:rPr>
              <w:t xml:space="preserve"> May 2022</w:t>
            </w:r>
          </w:p>
        </w:tc>
        <w:tc>
          <w:tcPr>
            <w:tcW w:w="1800" w:type="dxa"/>
          </w:tcPr>
          <w:p w:rsidR="002079A7" w:rsidRDefault="002079A7" w:rsidP="002079A7">
            <w:pPr>
              <w:rPr>
                <w:rFonts w:ascii="Arial Narrow" w:hAnsi="Arial Narrow"/>
              </w:rPr>
            </w:pPr>
            <w:r>
              <w:rPr>
                <w:rFonts w:ascii="Arial Narrow" w:hAnsi="Arial Narrow"/>
              </w:rPr>
              <w:t>7</w:t>
            </w:r>
            <w:r w:rsidRPr="008D51BA">
              <w:rPr>
                <w:rFonts w:ascii="Arial Narrow" w:hAnsi="Arial Narrow"/>
                <w:vertAlign w:val="superscript"/>
              </w:rPr>
              <w:t>th</w:t>
            </w:r>
            <w:r>
              <w:rPr>
                <w:rFonts w:ascii="Arial Narrow" w:hAnsi="Arial Narrow"/>
              </w:rPr>
              <w:t xml:space="preserve"> meeting</w:t>
            </w:r>
          </w:p>
          <w:p w:rsidR="002079A7" w:rsidRPr="0013651E" w:rsidRDefault="002079A7" w:rsidP="002079A7">
            <w:pPr>
              <w:rPr>
                <w:rFonts w:ascii="Arial Narrow" w:hAnsi="Arial Narrow"/>
              </w:rPr>
            </w:pPr>
            <w:r>
              <w:rPr>
                <w:rFonts w:ascii="Arial Narrow" w:hAnsi="Arial Narrow"/>
              </w:rPr>
              <w:t>1</w:t>
            </w:r>
            <w:r w:rsidR="0081314D">
              <w:rPr>
                <w:rFonts w:ascii="Arial Narrow" w:hAnsi="Arial Narrow"/>
              </w:rPr>
              <w:t>3</w:t>
            </w:r>
            <w:r>
              <w:rPr>
                <w:rFonts w:ascii="Arial Narrow" w:hAnsi="Arial Narrow"/>
              </w:rPr>
              <w:t xml:space="preserve"> May 2022</w:t>
            </w:r>
          </w:p>
        </w:tc>
        <w:tc>
          <w:tcPr>
            <w:tcW w:w="2700" w:type="dxa"/>
            <w:vMerge w:val="restart"/>
          </w:tcPr>
          <w:p w:rsidR="002079A7" w:rsidRPr="0013651E" w:rsidRDefault="002079A7" w:rsidP="002079A7">
            <w:pPr>
              <w:rPr>
                <w:rFonts w:ascii="Arial Narrow" w:hAnsi="Arial Narrow"/>
              </w:rPr>
            </w:pPr>
            <w:r>
              <w:rPr>
                <w:rFonts w:ascii="Arial Narrow" w:hAnsi="Arial Narrow"/>
              </w:rPr>
              <w:t>Background materials for the status of implementation including any issues.</w:t>
            </w:r>
          </w:p>
        </w:tc>
      </w:tr>
      <w:tr w:rsidR="002079A7" w:rsidRPr="0013651E" w:rsidTr="002079A7">
        <w:trPr>
          <w:trHeight w:val="692"/>
        </w:trPr>
        <w:tc>
          <w:tcPr>
            <w:tcW w:w="630" w:type="dxa"/>
            <w:vMerge/>
          </w:tcPr>
          <w:p w:rsidR="002079A7" w:rsidRDefault="002079A7" w:rsidP="002079A7">
            <w:pPr>
              <w:rPr>
                <w:rFonts w:ascii="Arial Narrow" w:hAnsi="Arial Narrow"/>
              </w:rPr>
            </w:pPr>
          </w:p>
        </w:tc>
        <w:tc>
          <w:tcPr>
            <w:tcW w:w="3510" w:type="dxa"/>
            <w:vMerge/>
          </w:tcPr>
          <w:p w:rsidR="002079A7" w:rsidRPr="008D51BA" w:rsidRDefault="002079A7" w:rsidP="002079A7">
            <w:pPr>
              <w:rPr>
                <w:rFonts w:ascii="Arial Narrow" w:hAnsi="Arial Narrow"/>
              </w:rPr>
            </w:pPr>
          </w:p>
        </w:tc>
        <w:tc>
          <w:tcPr>
            <w:tcW w:w="1980" w:type="dxa"/>
          </w:tcPr>
          <w:p w:rsidR="002079A7" w:rsidRDefault="002079A7" w:rsidP="002079A7">
            <w:pPr>
              <w:rPr>
                <w:rFonts w:ascii="Arial Narrow" w:hAnsi="Arial Narrow"/>
              </w:rPr>
            </w:pPr>
            <w:r>
              <w:rPr>
                <w:rFonts w:ascii="Arial Narrow" w:hAnsi="Arial Narrow"/>
              </w:rPr>
              <w:t>8</w:t>
            </w:r>
            <w:r w:rsidRPr="00B91513">
              <w:rPr>
                <w:rFonts w:ascii="Arial Narrow" w:hAnsi="Arial Narrow"/>
                <w:vertAlign w:val="superscript"/>
              </w:rPr>
              <w:t>th</w:t>
            </w:r>
            <w:r>
              <w:rPr>
                <w:rFonts w:ascii="Arial Narrow" w:hAnsi="Arial Narrow"/>
              </w:rPr>
              <w:t xml:space="preserve"> meeting</w:t>
            </w:r>
          </w:p>
          <w:p w:rsidR="002079A7" w:rsidRDefault="002079A7" w:rsidP="002079A7">
            <w:pPr>
              <w:rPr>
                <w:rFonts w:ascii="Arial Narrow" w:hAnsi="Arial Narrow"/>
              </w:rPr>
            </w:pPr>
            <w:r>
              <w:rPr>
                <w:rFonts w:ascii="Arial Narrow" w:hAnsi="Arial Narrow"/>
              </w:rPr>
              <w:t>25 October 2022</w:t>
            </w:r>
          </w:p>
        </w:tc>
        <w:tc>
          <w:tcPr>
            <w:tcW w:w="1800" w:type="dxa"/>
          </w:tcPr>
          <w:p w:rsidR="002079A7" w:rsidRDefault="002079A7" w:rsidP="002079A7">
            <w:pPr>
              <w:rPr>
                <w:rFonts w:ascii="Arial Narrow" w:hAnsi="Arial Narrow"/>
              </w:rPr>
            </w:pPr>
            <w:r>
              <w:rPr>
                <w:rFonts w:ascii="Arial Narrow" w:hAnsi="Arial Narrow"/>
              </w:rPr>
              <w:t>8</w:t>
            </w:r>
            <w:r w:rsidRPr="00B91513">
              <w:rPr>
                <w:rFonts w:ascii="Arial Narrow" w:hAnsi="Arial Narrow"/>
                <w:vertAlign w:val="superscript"/>
              </w:rPr>
              <w:t>th</w:t>
            </w:r>
            <w:r>
              <w:rPr>
                <w:rFonts w:ascii="Arial Narrow" w:hAnsi="Arial Narrow"/>
              </w:rPr>
              <w:t xml:space="preserve"> meeting</w:t>
            </w:r>
          </w:p>
          <w:p w:rsidR="002079A7" w:rsidRDefault="002079A7" w:rsidP="002079A7">
            <w:pPr>
              <w:rPr>
                <w:rFonts w:ascii="Arial Narrow" w:hAnsi="Arial Narrow"/>
              </w:rPr>
            </w:pPr>
            <w:r>
              <w:rPr>
                <w:rFonts w:ascii="Arial Narrow" w:hAnsi="Arial Narrow"/>
              </w:rPr>
              <w:t>25 October 2022</w:t>
            </w:r>
          </w:p>
        </w:tc>
        <w:tc>
          <w:tcPr>
            <w:tcW w:w="2700" w:type="dxa"/>
            <w:vMerge/>
          </w:tcPr>
          <w:p w:rsidR="002079A7" w:rsidRDefault="002079A7" w:rsidP="002079A7">
            <w:pPr>
              <w:rPr>
                <w:rFonts w:ascii="Arial Narrow" w:hAnsi="Arial Narrow"/>
              </w:rPr>
            </w:pPr>
          </w:p>
        </w:tc>
      </w:tr>
      <w:tr w:rsidR="002079A7" w:rsidRPr="0013651E" w:rsidTr="002079A7">
        <w:trPr>
          <w:trHeight w:val="630"/>
        </w:trPr>
        <w:tc>
          <w:tcPr>
            <w:tcW w:w="630" w:type="dxa"/>
            <w:vMerge w:val="restart"/>
          </w:tcPr>
          <w:p w:rsidR="002079A7" w:rsidRDefault="002079A7" w:rsidP="002079A7">
            <w:pPr>
              <w:rPr>
                <w:rFonts w:ascii="Arial Narrow" w:hAnsi="Arial Narrow"/>
              </w:rPr>
            </w:pPr>
            <w:r>
              <w:rPr>
                <w:rFonts w:ascii="Arial Narrow" w:hAnsi="Arial Narrow"/>
              </w:rPr>
              <w:t>4.</w:t>
            </w:r>
          </w:p>
        </w:tc>
        <w:tc>
          <w:tcPr>
            <w:tcW w:w="3510" w:type="dxa"/>
            <w:vMerge w:val="restart"/>
          </w:tcPr>
          <w:p w:rsidR="002079A7" w:rsidRPr="008D51BA" w:rsidRDefault="002079A7" w:rsidP="002079A7">
            <w:pPr>
              <w:rPr>
                <w:rFonts w:ascii="Arial Narrow" w:hAnsi="Arial Narrow"/>
              </w:rPr>
            </w:pPr>
            <w:r w:rsidRPr="008D51BA">
              <w:rPr>
                <w:rFonts w:ascii="Arial Narrow" w:hAnsi="Arial Narrow"/>
              </w:rPr>
              <w:t xml:space="preserve">IPA II Sector Monitoring Committee meeting on Regional Competitiveness and Innovation and Agriculture and Rural Development </w:t>
            </w:r>
          </w:p>
        </w:tc>
        <w:tc>
          <w:tcPr>
            <w:tcW w:w="1980" w:type="dxa"/>
          </w:tcPr>
          <w:p w:rsidR="002079A7" w:rsidRDefault="002079A7" w:rsidP="002079A7">
            <w:pPr>
              <w:rPr>
                <w:rFonts w:ascii="Arial Narrow" w:hAnsi="Arial Narrow"/>
              </w:rPr>
            </w:pPr>
            <w:r>
              <w:rPr>
                <w:rFonts w:ascii="Arial Narrow" w:hAnsi="Arial Narrow"/>
              </w:rPr>
              <w:t>6</w:t>
            </w:r>
            <w:r w:rsidRPr="00B91513">
              <w:rPr>
                <w:rFonts w:ascii="Arial Narrow" w:hAnsi="Arial Narrow"/>
                <w:vertAlign w:val="superscript"/>
              </w:rPr>
              <w:t>th</w:t>
            </w:r>
            <w:r>
              <w:rPr>
                <w:rFonts w:ascii="Arial Narrow" w:hAnsi="Arial Narrow"/>
              </w:rPr>
              <w:t xml:space="preserve"> meeting </w:t>
            </w:r>
          </w:p>
          <w:p w:rsidR="002079A7" w:rsidRDefault="002079A7" w:rsidP="002079A7">
            <w:pPr>
              <w:rPr>
                <w:rFonts w:ascii="Arial Narrow" w:hAnsi="Arial Narrow"/>
              </w:rPr>
            </w:pPr>
            <w:r>
              <w:rPr>
                <w:rFonts w:ascii="Arial Narrow" w:hAnsi="Arial Narrow"/>
              </w:rPr>
              <w:t>27 April 2022</w:t>
            </w:r>
          </w:p>
        </w:tc>
        <w:tc>
          <w:tcPr>
            <w:tcW w:w="1800" w:type="dxa"/>
          </w:tcPr>
          <w:p w:rsidR="002079A7" w:rsidRDefault="002079A7" w:rsidP="002079A7">
            <w:pPr>
              <w:rPr>
                <w:rFonts w:ascii="Arial Narrow" w:hAnsi="Arial Narrow"/>
              </w:rPr>
            </w:pPr>
            <w:r>
              <w:rPr>
                <w:rFonts w:ascii="Arial Narrow" w:hAnsi="Arial Narrow"/>
              </w:rPr>
              <w:t>6</w:t>
            </w:r>
            <w:r w:rsidRPr="00B91513">
              <w:rPr>
                <w:rFonts w:ascii="Arial Narrow" w:hAnsi="Arial Narrow"/>
                <w:vertAlign w:val="superscript"/>
              </w:rPr>
              <w:t>th</w:t>
            </w:r>
            <w:r>
              <w:rPr>
                <w:rFonts w:ascii="Arial Narrow" w:hAnsi="Arial Narrow"/>
              </w:rPr>
              <w:t xml:space="preserve"> meeting </w:t>
            </w:r>
          </w:p>
          <w:p w:rsidR="002079A7" w:rsidRDefault="002079A7" w:rsidP="002079A7">
            <w:pPr>
              <w:rPr>
                <w:rFonts w:ascii="Arial Narrow" w:hAnsi="Arial Narrow"/>
              </w:rPr>
            </w:pPr>
            <w:r>
              <w:rPr>
                <w:rFonts w:ascii="Arial Narrow" w:hAnsi="Arial Narrow"/>
              </w:rPr>
              <w:t>27 April 2022</w:t>
            </w:r>
          </w:p>
        </w:tc>
        <w:tc>
          <w:tcPr>
            <w:tcW w:w="2700" w:type="dxa"/>
            <w:vMerge w:val="restart"/>
          </w:tcPr>
          <w:p w:rsidR="002079A7" w:rsidRDefault="002079A7" w:rsidP="002079A7">
            <w:pPr>
              <w:rPr>
                <w:rFonts w:ascii="Arial Narrow" w:hAnsi="Arial Narrow"/>
              </w:rPr>
            </w:pPr>
            <w:r>
              <w:rPr>
                <w:rFonts w:ascii="Arial Narrow" w:hAnsi="Arial Narrow"/>
              </w:rPr>
              <w:t>Background materials for the status of implementation including any issues.</w:t>
            </w:r>
          </w:p>
        </w:tc>
      </w:tr>
      <w:tr w:rsidR="002079A7" w:rsidRPr="0013651E" w:rsidTr="002079A7">
        <w:trPr>
          <w:trHeight w:val="375"/>
        </w:trPr>
        <w:tc>
          <w:tcPr>
            <w:tcW w:w="630" w:type="dxa"/>
            <w:vMerge/>
          </w:tcPr>
          <w:p w:rsidR="002079A7" w:rsidRDefault="002079A7" w:rsidP="002079A7">
            <w:pPr>
              <w:rPr>
                <w:rFonts w:ascii="Arial Narrow" w:hAnsi="Arial Narrow"/>
              </w:rPr>
            </w:pPr>
          </w:p>
        </w:tc>
        <w:tc>
          <w:tcPr>
            <w:tcW w:w="3510" w:type="dxa"/>
            <w:vMerge/>
          </w:tcPr>
          <w:p w:rsidR="002079A7" w:rsidRPr="008D51BA" w:rsidRDefault="002079A7" w:rsidP="002079A7">
            <w:pPr>
              <w:rPr>
                <w:rFonts w:ascii="Arial Narrow" w:hAnsi="Arial Narrow"/>
              </w:rPr>
            </w:pPr>
          </w:p>
        </w:tc>
        <w:tc>
          <w:tcPr>
            <w:tcW w:w="1980" w:type="dxa"/>
          </w:tcPr>
          <w:p w:rsidR="002079A7" w:rsidRDefault="002079A7" w:rsidP="002079A7">
            <w:pPr>
              <w:rPr>
                <w:rFonts w:ascii="Arial Narrow" w:hAnsi="Arial Narrow"/>
              </w:rPr>
            </w:pPr>
            <w:r>
              <w:rPr>
                <w:rFonts w:ascii="Arial Narrow" w:hAnsi="Arial Narrow"/>
              </w:rPr>
              <w:t>7</w:t>
            </w:r>
            <w:r w:rsidRPr="00AC3664">
              <w:rPr>
                <w:rFonts w:ascii="Arial Narrow" w:hAnsi="Arial Narrow"/>
                <w:vertAlign w:val="superscript"/>
              </w:rPr>
              <w:t>th</w:t>
            </w:r>
            <w:r>
              <w:rPr>
                <w:rFonts w:ascii="Arial Narrow" w:hAnsi="Arial Narrow"/>
              </w:rPr>
              <w:t xml:space="preserve"> meeting</w:t>
            </w:r>
          </w:p>
          <w:p w:rsidR="002079A7" w:rsidRDefault="002079A7" w:rsidP="002079A7">
            <w:pPr>
              <w:rPr>
                <w:rFonts w:ascii="Arial Narrow" w:hAnsi="Arial Narrow"/>
              </w:rPr>
            </w:pPr>
            <w:r>
              <w:rPr>
                <w:rFonts w:ascii="Arial Narrow" w:hAnsi="Arial Narrow"/>
              </w:rPr>
              <w:t>3 November 2022</w:t>
            </w:r>
          </w:p>
          <w:p w:rsidR="002079A7" w:rsidRDefault="002079A7" w:rsidP="002079A7">
            <w:pPr>
              <w:rPr>
                <w:rFonts w:ascii="Arial Narrow" w:hAnsi="Arial Narrow"/>
              </w:rPr>
            </w:pPr>
          </w:p>
        </w:tc>
        <w:tc>
          <w:tcPr>
            <w:tcW w:w="1800" w:type="dxa"/>
          </w:tcPr>
          <w:p w:rsidR="002079A7" w:rsidRDefault="002079A7" w:rsidP="002079A7">
            <w:pPr>
              <w:rPr>
                <w:rFonts w:ascii="Arial Narrow" w:hAnsi="Arial Narrow"/>
              </w:rPr>
            </w:pPr>
            <w:r>
              <w:rPr>
                <w:rFonts w:ascii="Arial Narrow" w:hAnsi="Arial Narrow"/>
              </w:rPr>
              <w:t>7</w:t>
            </w:r>
            <w:r w:rsidRPr="00AC3664">
              <w:rPr>
                <w:rFonts w:ascii="Arial Narrow" w:hAnsi="Arial Narrow"/>
                <w:vertAlign w:val="superscript"/>
              </w:rPr>
              <w:t>th</w:t>
            </w:r>
            <w:r>
              <w:rPr>
                <w:rFonts w:ascii="Arial Narrow" w:hAnsi="Arial Narrow"/>
              </w:rPr>
              <w:t xml:space="preserve"> meeting</w:t>
            </w:r>
          </w:p>
          <w:p w:rsidR="002079A7" w:rsidRDefault="002079A7" w:rsidP="002079A7">
            <w:pPr>
              <w:rPr>
                <w:rFonts w:ascii="Arial Narrow" w:hAnsi="Arial Narrow"/>
              </w:rPr>
            </w:pPr>
            <w:r>
              <w:rPr>
                <w:rFonts w:ascii="Arial Narrow" w:hAnsi="Arial Narrow"/>
              </w:rPr>
              <w:t>3 November 2022</w:t>
            </w:r>
          </w:p>
          <w:p w:rsidR="002079A7" w:rsidRDefault="002079A7" w:rsidP="002079A7">
            <w:pPr>
              <w:rPr>
                <w:rFonts w:ascii="Arial Narrow" w:hAnsi="Arial Narrow"/>
              </w:rPr>
            </w:pPr>
          </w:p>
        </w:tc>
        <w:tc>
          <w:tcPr>
            <w:tcW w:w="2700" w:type="dxa"/>
            <w:vMerge/>
          </w:tcPr>
          <w:p w:rsidR="002079A7" w:rsidRDefault="002079A7" w:rsidP="002079A7">
            <w:pPr>
              <w:rPr>
                <w:rFonts w:ascii="Arial Narrow" w:hAnsi="Arial Narrow"/>
              </w:rPr>
            </w:pPr>
          </w:p>
        </w:tc>
      </w:tr>
      <w:tr w:rsidR="002079A7" w:rsidRPr="0013651E" w:rsidTr="002079A7">
        <w:trPr>
          <w:trHeight w:val="705"/>
        </w:trPr>
        <w:tc>
          <w:tcPr>
            <w:tcW w:w="630" w:type="dxa"/>
            <w:vMerge w:val="restart"/>
          </w:tcPr>
          <w:p w:rsidR="002079A7" w:rsidRPr="0013651E" w:rsidRDefault="002079A7" w:rsidP="002079A7">
            <w:pPr>
              <w:rPr>
                <w:rFonts w:ascii="Arial Narrow" w:hAnsi="Arial Narrow"/>
              </w:rPr>
            </w:pPr>
            <w:r>
              <w:rPr>
                <w:rFonts w:ascii="Arial Narrow" w:hAnsi="Arial Narrow"/>
              </w:rPr>
              <w:t xml:space="preserve">5. </w:t>
            </w:r>
          </w:p>
        </w:tc>
        <w:tc>
          <w:tcPr>
            <w:tcW w:w="3510" w:type="dxa"/>
            <w:vMerge w:val="restart"/>
          </w:tcPr>
          <w:p w:rsidR="002079A7" w:rsidRPr="008D51BA" w:rsidRDefault="002079A7" w:rsidP="002079A7">
            <w:pPr>
              <w:rPr>
                <w:rFonts w:ascii="Arial Narrow" w:hAnsi="Arial Narrow"/>
              </w:rPr>
            </w:pPr>
            <w:r>
              <w:rPr>
                <w:rFonts w:ascii="Arial Narrow" w:hAnsi="Arial Narrow"/>
              </w:rPr>
              <w:t>IPA II Sector</w:t>
            </w:r>
            <w:r w:rsidRPr="008D51BA">
              <w:rPr>
                <w:rFonts w:ascii="Arial Narrow" w:hAnsi="Arial Narrow"/>
              </w:rPr>
              <w:t xml:space="preserve"> Monitoring committee on Democracy and Governance (focus on PAR and PFM in 2020)</w:t>
            </w:r>
          </w:p>
        </w:tc>
        <w:tc>
          <w:tcPr>
            <w:tcW w:w="1980" w:type="dxa"/>
          </w:tcPr>
          <w:p w:rsidR="002079A7" w:rsidRPr="00AC3664" w:rsidRDefault="002079A7" w:rsidP="002079A7">
            <w:pPr>
              <w:rPr>
                <w:rFonts w:ascii="Arial Narrow" w:hAnsi="Arial Narrow"/>
                <w:vertAlign w:val="superscript"/>
              </w:rPr>
            </w:pPr>
            <w:r>
              <w:rPr>
                <w:rFonts w:ascii="Arial Narrow" w:hAnsi="Arial Narrow"/>
              </w:rPr>
              <w:t>4</w:t>
            </w:r>
            <w:r w:rsidRPr="00AC3664">
              <w:rPr>
                <w:rFonts w:ascii="Arial Narrow" w:hAnsi="Arial Narrow"/>
                <w:vertAlign w:val="superscript"/>
              </w:rPr>
              <w:t>th</w:t>
            </w:r>
            <w:r>
              <w:rPr>
                <w:rFonts w:ascii="Arial Narrow" w:hAnsi="Arial Narrow"/>
                <w:vertAlign w:val="superscript"/>
              </w:rPr>
              <w:t xml:space="preserve"> </w:t>
            </w:r>
            <w:r>
              <w:rPr>
                <w:rFonts w:ascii="Arial Narrow" w:hAnsi="Arial Narrow"/>
              </w:rPr>
              <w:t>meeting</w:t>
            </w:r>
          </w:p>
          <w:p w:rsidR="002079A7" w:rsidRDefault="002079A7" w:rsidP="002079A7">
            <w:pPr>
              <w:rPr>
                <w:rFonts w:ascii="Arial Narrow" w:hAnsi="Arial Narrow"/>
              </w:rPr>
            </w:pPr>
            <w:r>
              <w:rPr>
                <w:rFonts w:ascii="Arial Narrow" w:hAnsi="Arial Narrow"/>
              </w:rPr>
              <w:t>26 May 2022</w:t>
            </w:r>
          </w:p>
        </w:tc>
        <w:tc>
          <w:tcPr>
            <w:tcW w:w="1800" w:type="dxa"/>
          </w:tcPr>
          <w:p w:rsidR="002079A7" w:rsidRPr="00AC3664" w:rsidRDefault="002079A7" w:rsidP="002079A7">
            <w:pPr>
              <w:rPr>
                <w:rFonts w:ascii="Arial Narrow" w:hAnsi="Arial Narrow"/>
                <w:vertAlign w:val="superscript"/>
              </w:rPr>
            </w:pPr>
            <w:r>
              <w:rPr>
                <w:rFonts w:ascii="Arial Narrow" w:hAnsi="Arial Narrow"/>
              </w:rPr>
              <w:t>4</w:t>
            </w:r>
            <w:r w:rsidRPr="00AC3664">
              <w:rPr>
                <w:rFonts w:ascii="Arial Narrow" w:hAnsi="Arial Narrow"/>
                <w:vertAlign w:val="superscript"/>
              </w:rPr>
              <w:t>th</w:t>
            </w:r>
            <w:r>
              <w:rPr>
                <w:rFonts w:ascii="Arial Narrow" w:hAnsi="Arial Narrow"/>
                <w:vertAlign w:val="superscript"/>
              </w:rPr>
              <w:t xml:space="preserve"> </w:t>
            </w:r>
            <w:r>
              <w:rPr>
                <w:rFonts w:ascii="Arial Narrow" w:hAnsi="Arial Narrow"/>
              </w:rPr>
              <w:t>meeting</w:t>
            </w:r>
          </w:p>
          <w:p w:rsidR="002079A7" w:rsidRDefault="002079A7" w:rsidP="002079A7">
            <w:pPr>
              <w:rPr>
                <w:rFonts w:ascii="Arial Narrow" w:hAnsi="Arial Narrow"/>
              </w:rPr>
            </w:pPr>
            <w:r>
              <w:rPr>
                <w:rFonts w:ascii="Arial Narrow" w:hAnsi="Arial Narrow"/>
              </w:rPr>
              <w:t>26 May 2022</w:t>
            </w:r>
          </w:p>
        </w:tc>
        <w:tc>
          <w:tcPr>
            <w:tcW w:w="2700" w:type="dxa"/>
            <w:vMerge w:val="restart"/>
          </w:tcPr>
          <w:p w:rsidR="002079A7" w:rsidRPr="0013651E" w:rsidRDefault="002079A7" w:rsidP="002079A7">
            <w:pPr>
              <w:rPr>
                <w:rFonts w:ascii="Arial Narrow" w:hAnsi="Arial Narrow"/>
              </w:rPr>
            </w:pPr>
            <w:r>
              <w:rPr>
                <w:rFonts w:ascii="Arial Narrow" w:hAnsi="Arial Narrow"/>
              </w:rPr>
              <w:t>Background materials for the status of implementation including any issues.</w:t>
            </w:r>
          </w:p>
        </w:tc>
      </w:tr>
      <w:tr w:rsidR="002079A7" w:rsidRPr="0013651E" w:rsidTr="002079A7">
        <w:trPr>
          <w:trHeight w:val="845"/>
        </w:trPr>
        <w:tc>
          <w:tcPr>
            <w:tcW w:w="630" w:type="dxa"/>
            <w:vMerge/>
          </w:tcPr>
          <w:p w:rsidR="002079A7" w:rsidRDefault="002079A7" w:rsidP="002079A7">
            <w:pPr>
              <w:rPr>
                <w:rFonts w:ascii="Arial Narrow" w:hAnsi="Arial Narrow"/>
              </w:rPr>
            </w:pPr>
          </w:p>
        </w:tc>
        <w:tc>
          <w:tcPr>
            <w:tcW w:w="3510" w:type="dxa"/>
            <w:vMerge/>
          </w:tcPr>
          <w:p w:rsidR="002079A7" w:rsidRPr="008D51BA" w:rsidRDefault="002079A7" w:rsidP="002079A7">
            <w:pPr>
              <w:rPr>
                <w:rFonts w:ascii="Arial Narrow" w:hAnsi="Arial Narrow"/>
              </w:rPr>
            </w:pPr>
          </w:p>
        </w:tc>
        <w:tc>
          <w:tcPr>
            <w:tcW w:w="1980" w:type="dxa"/>
          </w:tcPr>
          <w:p w:rsidR="002079A7" w:rsidRDefault="002079A7" w:rsidP="002079A7">
            <w:pPr>
              <w:rPr>
                <w:rFonts w:ascii="Arial Narrow" w:hAnsi="Arial Narrow"/>
              </w:rPr>
            </w:pPr>
            <w:r>
              <w:rPr>
                <w:rFonts w:ascii="Arial Narrow" w:hAnsi="Arial Narrow"/>
              </w:rPr>
              <w:t>5</w:t>
            </w:r>
            <w:r w:rsidRPr="00AC3664">
              <w:rPr>
                <w:rFonts w:ascii="Arial Narrow" w:hAnsi="Arial Narrow"/>
                <w:vertAlign w:val="superscript"/>
              </w:rPr>
              <w:t>th</w:t>
            </w:r>
            <w:r>
              <w:rPr>
                <w:rFonts w:ascii="Arial Narrow" w:hAnsi="Arial Narrow"/>
              </w:rPr>
              <w:t xml:space="preserve"> meeting</w:t>
            </w:r>
          </w:p>
          <w:p w:rsidR="002079A7" w:rsidRDefault="002079A7" w:rsidP="002079A7">
            <w:pPr>
              <w:rPr>
                <w:rFonts w:ascii="Arial Narrow" w:hAnsi="Arial Narrow"/>
              </w:rPr>
            </w:pPr>
            <w:r>
              <w:rPr>
                <w:rFonts w:ascii="Arial Narrow" w:hAnsi="Arial Narrow"/>
              </w:rPr>
              <w:t>17 November 2022</w:t>
            </w:r>
          </w:p>
          <w:p w:rsidR="002079A7" w:rsidRDefault="002079A7" w:rsidP="002079A7">
            <w:pPr>
              <w:rPr>
                <w:rFonts w:ascii="Arial Narrow" w:hAnsi="Arial Narrow"/>
              </w:rPr>
            </w:pPr>
          </w:p>
        </w:tc>
        <w:tc>
          <w:tcPr>
            <w:tcW w:w="1800" w:type="dxa"/>
          </w:tcPr>
          <w:p w:rsidR="002079A7" w:rsidRDefault="002079A7" w:rsidP="002079A7">
            <w:pPr>
              <w:rPr>
                <w:rFonts w:ascii="Arial Narrow" w:hAnsi="Arial Narrow"/>
              </w:rPr>
            </w:pPr>
            <w:r>
              <w:rPr>
                <w:rFonts w:ascii="Arial Narrow" w:hAnsi="Arial Narrow"/>
              </w:rPr>
              <w:t>5</w:t>
            </w:r>
            <w:r w:rsidRPr="00AC3664">
              <w:rPr>
                <w:rFonts w:ascii="Arial Narrow" w:hAnsi="Arial Narrow"/>
                <w:vertAlign w:val="superscript"/>
              </w:rPr>
              <w:t>th</w:t>
            </w:r>
            <w:r>
              <w:rPr>
                <w:rFonts w:ascii="Arial Narrow" w:hAnsi="Arial Narrow"/>
              </w:rPr>
              <w:t xml:space="preserve"> meeting</w:t>
            </w:r>
          </w:p>
          <w:p w:rsidR="002079A7" w:rsidRDefault="002079A7" w:rsidP="002079A7">
            <w:pPr>
              <w:rPr>
                <w:rFonts w:ascii="Arial Narrow" w:hAnsi="Arial Narrow"/>
              </w:rPr>
            </w:pPr>
            <w:r>
              <w:rPr>
                <w:rFonts w:ascii="Arial Narrow" w:hAnsi="Arial Narrow"/>
              </w:rPr>
              <w:t>17 November 2022</w:t>
            </w:r>
          </w:p>
          <w:p w:rsidR="002079A7" w:rsidRDefault="002079A7" w:rsidP="002079A7">
            <w:pPr>
              <w:rPr>
                <w:rFonts w:ascii="Arial Narrow" w:hAnsi="Arial Narrow"/>
              </w:rPr>
            </w:pPr>
          </w:p>
        </w:tc>
        <w:tc>
          <w:tcPr>
            <w:tcW w:w="2700" w:type="dxa"/>
            <w:vMerge/>
            <w:tcBorders>
              <w:bottom w:val="single" w:sz="4" w:space="0" w:color="auto"/>
            </w:tcBorders>
          </w:tcPr>
          <w:p w:rsidR="002079A7" w:rsidRDefault="002079A7" w:rsidP="002079A7">
            <w:pPr>
              <w:rPr>
                <w:rFonts w:ascii="Arial Narrow" w:hAnsi="Arial Narrow"/>
              </w:rPr>
            </w:pPr>
          </w:p>
        </w:tc>
      </w:tr>
      <w:tr w:rsidR="002079A7" w:rsidRPr="0013651E" w:rsidTr="002079A7">
        <w:trPr>
          <w:trHeight w:val="782"/>
        </w:trPr>
        <w:tc>
          <w:tcPr>
            <w:tcW w:w="630" w:type="dxa"/>
            <w:vMerge w:val="restart"/>
          </w:tcPr>
          <w:p w:rsidR="002079A7" w:rsidRDefault="002079A7" w:rsidP="002079A7">
            <w:pPr>
              <w:rPr>
                <w:rFonts w:ascii="Arial Narrow" w:hAnsi="Arial Narrow"/>
              </w:rPr>
            </w:pPr>
            <w:r>
              <w:rPr>
                <w:rFonts w:ascii="Arial Narrow" w:hAnsi="Arial Narrow"/>
              </w:rPr>
              <w:t xml:space="preserve">6. </w:t>
            </w:r>
          </w:p>
        </w:tc>
        <w:tc>
          <w:tcPr>
            <w:tcW w:w="3510" w:type="dxa"/>
            <w:vMerge w:val="restart"/>
          </w:tcPr>
          <w:p w:rsidR="002079A7" w:rsidRPr="008D51BA" w:rsidRDefault="002079A7" w:rsidP="002079A7">
            <w:pPr>
              <w:rPr>
                <w:rFonts w:ascii="Arial Narrow" w:hAnsi="Arial Narrow"/>
              </w:rPr>
            </w:pPr>
            <w:r>
              <w:rPr>
                <w:rFonts w:ascii="Arial Narrow" w:hAnsi="Arial Narrow"/>
              </w:rPr>
              <w:t>IPA II Sector</w:t>
            </w:r>
            <w:r w:rsidRPr="008D51BA">
              <w:rPr>
                <w:rFonts w:ascii="Arial Narrow" w:hAnsi="Arial Narrow"/>
              </w:rPr>
              <w:t xml:space="preserve"> Monitoring committee on Education, employment and social policy  </w:t>
            </w:r>
          </w:p>
        </w:tc>
        <w:tc>
          <w:tcPr>
            <w:tcW w:w="1980" w:type="dxa"/>
          </w:tcPr>
          <w:p w:rsidR="002079A7" w:rsidRDefault="002079A7" w:rsidP="002079A7">
            <w:pPr>
              <w:rPr>
                <w:rFonts w:ascii="Arial Narrow" w:hAnsi="Arial Narrow"/>
              </w:rPr>
            </w:pPr>
            <w:r>
              <w:rPr>
                <w:rFonts w:ascii="Arial Narrow" w:hAnsi="Arial Narrow"/>
              </w:rPr>
              <w:t>4</w:t>
            </w:r>
            <w:r w:rsidRPr="00EC56A9">
              <w:rPr>
                <w:rFonts w:ascii="Arial Narrow" w:hAnsi="Arial Narrow"/>
                <w:vertAlign w:val="superscript"/>
              </w:rPr>
              <w:t>th</w:t>
            </w:r>
            <w:r>
              <w:rPr>
                <w:rFonts w:ascii="Arial Narrow" w:hAnsi="Arial Narrow"/>
              </w:rPr>
              <w:t xml:space="preserve"> meeting </w:t>
            </w:r>
          </w:p>
          <w:p w:rsidR="002079A7" w:rsidRDefault="002079A7" w:rsidP="002079A7">
            <w:pPr>
              <w:rPr>
                <w:rFonts w:ascii="Arial Narrow" w:hAnsi="Arial Narrow"/>
              </w:rPr>
            </w:pPr>
            <w:r>
              <w:rPr>
                <w:rFonts w:ascii="Arial Narrow" w:hAnsi="Arial Narrow"/>
              </w:rPr>
              <w:t>31 May 2022</w:t>
            </w:r>
          </w:p>
        </w:tc>
        <w:tc>
          <w:tcPr>
            <w:tcW w:w="1800" w:type="dxa"/>
          </w:tcPr>
          <w:p w:rsidR="002079A7" w:rsidRDefault="002079A7" w:rsidP="002079A7">
            <w:pPr>
              <w:rPr>
                <w:rFonts w:ascii="Arial Narrow" w:hAnsi="Arial Narrow"/>
              </w:rPr>
            </w:pPr>
            <w:r>
              <w:rPr>
                <w:rFonts w:ascii="Arial Narrow" w:hAnsi="Arial Narrow"/>
              </w:rPr>
              <w:t>4</w:t>
            </w:r>
            <w:r w:rsidRPr="00EC56A9">
              <w:rPr>
                <w:rFonts w:ascii="Arial Narrow" w:hAnsi="Arial Narrow"/>
                <w:vertAlign w:val="superscript"/>
              </w:rPr>
              <w:t>th</w:t>
            </w:r>
            <w:r>
              <w:rPr>
                <w:rFonts w:ascii="Arial Narrow" w:hAnsi="Arial Narrow"/>
              </w:rPr>
              <w:t xml:space="preserve"> meeting </w:t>
            </w:r>
          </w:p>
          <w:p w:rsidR="002079A7" w:rsidRDefault="002079A7" w:rsidP="002079A7">
            <w:pPr>
              <w:rPr>
                <w:rFonts w:ascii="Arial Narrow" w:hAnsi="Arial Narrow"/>
              </w:rPr>
            </w:pPr>
            <w:r>
              <w:rPr>
                <w:rFonts w:ascii="Arial Narrow" w:hAnsi="Arial Narrow"/>
              </w:rPr>
              <w:t>31 May 2022</w:t>
            </w:r>
          </w:p>
        </w:tc>
        <w:tc>
          <w:tcPr>
            <w:tcW w:w="2700" w:type="dxa"/>
            <w:tcBorders>
              <w:bottom w:val="nil"/>
            </w:tcBorders>
          </w:tcPr>
          <w:p w:rsidR="002079A7" w:rsidRPr="0013651E" w:rsidRDefault="002079A7" w:rsidP="002079A7">
            <w:pPr>
              <w:rPr>
                <w:rFonts w:ascii="Arial Narrow" w:hAnsi="Arial Narrow"/>
              </w:rPr>
            </w:pPr>
            <w:r>
              <w:rPr>
                <w:rFonts w:ascii="Arial Narrow" w:hAnsi="Arial Narrow"/>
              </w:rPr>
              <w:t>Background materials for the status of implementation including any issues.</w:t>
            </w:r>
          </w:p>
        </w:tc>
      </w:tr>
      <w:tr w:rsidR="002079A7" w:rsidRPr="0013651E" w:rsidTr="002079A7">
        <w:trPr>
          <w:trHeight w:val="737"/>
        </w:trPr>
        <w:tc>
          <w:tcPr>
            <w:tcW w:w="630" w:type="dxa"/>
            <w:vMerge/>
          </w:tcPr>
          <w:p w:rsidR="002079A7" w:rsidRDefault="002079A7" w:rsidP="002079A7">
            <w:pPr>
              <w:rPr>
                <w:rFonts w:ascii="Arial Narrow" w:hAnsi="Arial Narrow"/>
              </w:rPr>
            </w:pPr>
          </w:p>
        </w:tc>
        <w:tc>
          <w:tcPr>
            <w:tcW w:w="3510" w:type="dxa"/>
            <w:vMerge/>
          </w:tcPr>
          <w:p w:rsidR="002079A7" w:rsidRDefault="002079A7" w:rsidP="002079A7">
            <w:pPr>
              <w:rPr>
                <w:rFonts w:ascii="Arial Narrow" w:hAnsi="Arial Narrow"/>
              </w:rPr>
            </w:pPr>
          </w:p>
        </w:tc>
        <w:tc>
          <w:tcPr>
            <w:tcW w:w="1980" w:type="dxa"/>
          </w:tcPr>
          <w:p w:rsidR="002079A7" w:rsidRDefault="002079A7" w:rsidP="002079A7">
            <w:pPr>
              <w:rPr>
                <w:rFonts w:ascii="Arial Narrow" w:hAnsi="Arial Narrow"/>
              </w:rPr>
            </w:pPr>
            <w:r>
              <w:rPr>
                <w:rFonts w:ascii="Arial Narrow" w:hAnsi="Arial Narrow"/>
              </w:rPr>
              <w:t>5</w:t>
            </w:r>
            <w:r w:rsidRPr="00CF1394">
              <w:rPr>
                <w:rFonts w:ascii="Arial Narrow" w:hAnsi="Arial Narrow"/>
                <w:vertAlign w:val="superscript"/>
              </w:rPr>
              <w:t>th</w:t>
            </w:r>
            <w:r>
              <w:rPr>
                <w:rFonts w:ascii="Arial Narrow" w:hAnsi="Arial Narrow"/>
              </w:rPr>
              <w:t xml:space="preserve"> meeting </w:t>
            </w:r>
          </w:p>
          <w:p w:rsidR="002079A7" w:rsidRDefault="002079A7" w:rsidP="002079A7">
            <w:pPr>
              <w:rPr>
                <w:rFonts w:ascii="Arial Narrow" w:hAnsi="Arial Narrow"/>
              </w:rPr>
            </w:pPr>
            <w:r>
              <w:rPr>
                <w:rFonts w:ascii="Arial Narrow" w:hAnsi="Arial Narrow"/>
              </w:rPr>
              <w:t>2 December 2022</w:t>
            </w:r>
          </w:p>
          <w:p w:rsidR="002079A7" w:rsidRDefault="002079A7" w:rsidP="002079A7">
            <w:pPr>
              <w:rPr>
                <w:rFonts w:ascii="Arial Narrow" w:hAnsi="Arial Narrow"/>
              </w:rPr>
            </w:pPr>
          </w:p>
        </w:tc>
        <w:tc>
          <w:tcPr>
            <w:tcW w:w="1800" w:type="dxa"/>
          </w:tcPr>
          <w:p w:rsidR="002079A7" w:rsidRDefault="002079A7" w:rsidP="002079A7">
            <w:pPr>
              <w:rPr>
                <w:rFonts w:ascii="Arial Narrow" w:hAnsi="Arial Narrow"/>
              </w:rPr>
            </w:pPr>
            <w:r>
              <w:rPr>
                <w:rFonts w:ascii="Arial Narrow" w:hAnsi="Arial Narrow"/>
              </w:rPr>
              <w:t>5</w:t>
            </w:r>
            <w:r w:rsidRPr="00CF1394">
              <w:rPr>
                <w:rFonts w:ascii="Arial Narrow" w:hAnsi="Arial Narrow"/>
                <w:vertAlign w:val="superscript"/>
              </w:rPr>
              <w:t>th</w:t>
            </w:r>
            <w:r>
              <w:rPr>
                <w:rFonts w:ascii="Arial Narrow" w:hAnsi="Arial Narrow"/>
              </w:rPr>
              <w:t xml:space="preserve"> meeting </w:t>
            </w:r>
          </w:p>
          <w:p w:rsidR="002079A7" w:rsidRDefault="002079A7" w:rsidP="002079A7">
            <w:pPr>
              <w:rPr>
                <w:rFonts w:ascii="Arial Narrow" w:hAnsi="Arial Narrow"/>
              </w:rPr>
            </w:pPr>
            <w:r>
              <w:rPr>
                <w:rFonts w:ascii="Arial Narrow" w:hAnsi="Arial Narrow"/>
              </w:rPr>
              <w:t>2 December 2022</w:t>
            </w:r>
          </w:p>
          <w:p w:rsidR="002079A7" w:rsidRDefault="002079A7" w:rsidP="002079A7">
            <w:pPr>
              <w:rPr>
                <w:rFonts w:ascii="Arial Narrow" w:hAnsi="Arial Narrow"/>
              </w:rPr>
            </w:pPr>
          </w:p>
        </w:tc>
        <w:tc>
          <w:tcPr>
            <w:tcW w:w="2700" w:type="dxa"/>
            <w:tcBorders>
              <w:top w:val="nil"/>
            </w:tcBorders>
          </w:tcPr>
          <w:p w:rsidR="002079A7" w:rsidRDefault="002079A7" w:rsidP="002079A7">
            <w:pPr>
              <w:rPr>
                <w:rFonts w:ascii="Arial Narrow" w:hAnsi="Arial Narrow"/>
              </w:rPr>
            </w:pPr>
          </w:p>
        </w:tc>
      </w:tr>
      <w:tr w:rsidR="002079A7" w:rsidRPr="0013651E" w:rsidTr="002079A7">
        <w:trPr>
          <w:trHeight w:val="2690"/>
        </w:trPr>
        <w:tc>
          <w:tcPr>
            <w:tcW w:w="630" w:type="dxa"/>
          </w:tcPr>
          <w:p w:rsidR="002079A7" w:rsidRPr="0013651E" w:rsidRDefault="002079A7" w:rsidP="002079A7">
            <w:pPr>
              <w:rPr>
                <w:rFonts w:ascii="Arial Narrow" w:hAnsi="Arial Narrow"/>
              </w:rPr>
            </w:pPr>
            <w:r>
              <w:rPr>
                <w:rFonts w:ascii="Arial Narrow" w:hAnsi="Arial Narrow"/>
              </w:rPr>
              <w:t>7.</w:t>
            </w:r>
          </w:p>
        </w:tc>
        <w:tc>
          <w:tcPr>
            <w:tcW w:w="3510" w:type="dxa"/>
          </w:tcPr>
          <w:p w:rsidR="002079A7" w:rsidRPr="0013651E" w:rsidRDefault="002079A7" w:rsidP="002079A7">
            <w:pPr>
              <w:rPr>
                <w:rFonts w:ascii="Arial Narrow" w:hAnsi="Arial Narrow"/>
              </w:rPr>
            </w:pPr>
            <w:r>
              <w:rPr>
                <w:rFonts w:ascii="Arial Narrow" w:hAnsi="Arial Narrow"/>
              </w:rPr>
              <w:t>IPARD II Sector Monitoring Committee meeting (two meetings in 2022)</w:t>
            </w:r>
          </w:p>
        </w:tc>
        <w:tc>
          <w:tcPr>
            <w:tcW w:w="1980" w:type="dxa"/>
          </w:tcPr>
          <w:p w:rsidR="002079A7" w:rsidRDefault="002079A7" w:rsidP="002079A7">
            <w:pPr>
              <w:rPr>
                <w:rFonts w:ascii="Arial Narrow" w:hAnsi="Arial Narrow"/>
              </w:rPr>
            </w:pPr>
            <w:r>
              <w:rPr>
                <w:rFonts w:ascii="Arial Narrow" w:hAnsi="Arial Narrow"/>
              </w:rPr>
              <w:t>Spring meeting April/May 2022</w:t>
            </w:r>
          </w:p>
          <w:p w:rsidR="002079A7" w:rsidRDefault="002079A7" w:rsidP="002079A7">
            <w:pPr>
              <w:rPr>
                <w:rFonts w:ascii="Arial Narrow" w:hAnsi="Arial Narrow"/>
              </w:rPr>
            </w:pPr>
          </w:p>
          <w:p w:rsidR="002079A7" w:rsidRDefault="002079A7" w:rsidP="002079A7">
            <w:pPr>
              <w:rPr>
                <w:rFonts w:ascii="Arial Narrow" w:hAnsi="Arial Narrow"/>
              </w:rPr>
            </w:pPr>
            <w:r>
              <w:rPr>
                <w:rFonts w:ascii="Arial Narrow" w:hAnsi="Arial Narrow"/>
              </w:rPr>
              <w:t>Autumn meeting</w:t>
            </w:r>
          </w:p>
          <w:p w:rsidR="002079A7" w:rsidRDefault="002079A7" w:rsidP="002079A7">
            <w:pPr>
              <w:rPr>
                <w:rFonts w:ascii="Arial Narrow" w:hAnsi="Arial Narrow"/>
              </w:rPr>
            </w:pPr>
            <w:r>
              <w:rPr>
                <w:rFonts w:ascii="Arial Narrow" w:hAnsi="Arial Narrow"/>
              </w:rPr>
              <w:t>November/December 2022</w:t>
            </w:r>
          </w:p>
          <w:p w:rsidR="002079A7" w:rsidRDefault="002079A7" w:rsidP="002079A7">
            <w:pPr>
              <w:rPr>
                <w:rFonts w:ascii="Arial Narrow" w:hAnsi="Arial Narrow"/>
              </w:rPr>
            </w:pPr>
            <w:r>
              <w:rPr>
                <w:rFonts w:ascii="Arial Narrow" w:hAnsi="Arial Narrow"/>
              </w:rPr>
              <w:t xml:space="preserve">The exact date is arranged 45 days before the meeting in communication between IPARD MA and PA and DG AGRI </w:t>
            </w:r>
          </w:p>
        </w:tc>
        <w:tc>
          <w:tcPr>
            <w:tcW w:w="1800" w:type="dxa"/>
          </w:tcPr>
          <w:p w:rsidR="002079A7" w:rsidRPr="0013651E" w:rsidRDefault="002079A7" w:rsidP="002079A7">
            <w:pPr>
              <w:rPr>
                <w:rFonts w:ascii="Arial Narrow" w:hAnsi="Arial Narrow"/>
              </w:rPr>
            </w:pPr>
            <w:r w:rsidRPr="00F17D5C">
              <w:rPr>
                <w:rFonts w:ascii="Arial Narrow" w:hAnsi="Arial Narrow"/>
              </w:rPr>
              <w:t xml:space="preserve">This </w:t>
            </w:r>
            <w:r>
              <w:rPr>
                <w:rFonts w:ascii="Arial Narrow" w:hAnsi="Arial Narrow"/>
              </w:rPr>
              <w:t>will</w:t>
            </w:r>
            <w:r w:rsidRPr="00F17D5C">
              <w:rPr>
                <w:rFonts w:ascii="Arial Narrow" w:hAnsi="Arial Narrow"/>
              </w:rPr>
              <w:t xml:space="preserve"> be agreed with DG AGRI.</w:t>
            </w:r>
          </w:p>
        </w:tc>
        <w:tc>
          <w:tcPr>
            <w:tcW w:w="2700" w:type="dxa"/>
          </w:tcPr>
          <w:p w:rsidR="002079A7" w:rsidRPr="0013651E" w:rsidRDefault="002079A7" w:rsidP="002079A7">
            <w:pPr>
              <w:rPr>
                <w:rFonts w:ascii="Arial Narrow" w:hAnsi="Arial Narrow"/>
              </w:rPr>
            </w:pPr>
          </w:p>
        </w:tc>
      </w:tr>
    </w:tbl>
    <w:p w:rsidR="00807753" w:rsidRDefault="00807753">
      <w:pPr>
        <w:rPr>
          <w:rFonts w:ascii="Arial Narrow" w:hAnsi="Arial Narrow"/>
        </w:rPr>
      </w:pPr>
    </w:p>
    <w:sectPr w:rsidR="00807753" w:rsidSect="00AD164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67" w:rsidRDefault="00242867" w:rsidP="00A95D9D">
      <w:pPr>
        <w:spacing w:after="0" w:line="240" w:lineRule="auto"/>
      </w:pPr>
      <w:r>
        <w:separator/>
      </w:r>
    </w:p>
  </w:endnote>
  <w:endnote w:type="continuationSeparator" w:id="0">
    <w:p w:rsidR="00242867" w:rsidRDefault="00242867" w:rsidP="00A9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95444"/>
      <w:docPartObj>
        <w:docPartGallery w:val="Page Numbers (Bottom of Page)"/>
        <w:docPartUnique/>
      </w:docPartObj>
    </w:sdtPr>
    <w:sdtEndPr>
      <w:rPr>
        <w:noProof/>
      </w:rPr>
    </w:sdtEndPr>
    <w:sdtContent>
      <w:p w:rsidR="00327E97" w:rsidRDefault="008B33FD">
        <w:pPr>
          <w:pStyle w:val="Footer"/>
          <w:jc w:val="right"/>
        </w:pPr>
        <w:r>
          <w:fldChar w:fldCharType="begin"/>
        </w:r>
        <w:r w:rsidR="00327E97">
          <w:instrText xml:space="preserve"> PAGE   \* MERGEFORMAT </w:instrText>
        </w:r>
        <w:r>
          <w:fldChar w:fldCharType="separate"/>
        </w:r>
        <w:r w:rsidR="00D87507">
          <w:rPr>
            <w:noProof/>
          </w:rPr>
          <w:t>2</w:t>
        </w:r>
        <w:r>
          <w:rPr>
            <w:noProof/>
          </w:rPr>
          <w:fldChar w:fldCharType="end"/>
        </w:r>
      </w:p>
    </w:sdtContent>
  </w:sdt>
  <w:p w:rsidR="00327E97" w:rsidRDefault="00327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67" w:rsidRDefault="00242867" w:rsidP="00A95D9D">
      <w:pPr>
        <w:spacing w:after="0" w:line="240" w:lineRule="auto"/>
      </w:pPr>
      <w:r>
        <w:separator/>
      </w:r>
    </w:p>
  </w:footnote>
  <w:footnote w:type="continuationSeparator" w:id="0">
    <w:p w:rsidR="00242867" w:rsidRDefault="00242867" w:rsidP="00A95D9D">
      <w:pPr>
        <w:spacing w:after="0" w:line="240" w:lineRule="auto"/>
      </w:pPr>
      <w:r>
        <w:continuationSeparator/>
      </w:r>
    </w:p>
  </w:footnote>
  <w:footnote w:id="1">
    <w:p w:rsidR="00327E97" w:rsidRPr="00A95D9D" w:rsidRDefault="00327E97" w:rsidP="00944C89">
      <w:pPr>
        <w:pStyle w:val="FootnoteText"/>
        <w:jc w:val="both"/>
      </w:pPr>
      <w:r>
        <w:rPr>
          <w:rStyle w:val="FootnoteReference"/>
        </w:rPr>
        <w:footnoteRef/>
      </w:r>
      <w:r w:rsidRPr="00944C89">
        <w:rPr>
          <w:rFonts w:ascii="Arial Narrow" w:hAnsi="Arial Narrow"/>
        </w:rPr>
        <w:t>The dates are proposed tentatively</w:t>
      </w:r>
      <w:r w:rsidR="004B2514">
        <w:rPr>
          <w:rFonts w:ascii="Arial Narrow" w:hAnsi="Arial Narrow"/>
        </w:rPr>
        <w:t>,</w:t>
      </w:r>
      <w:r w:rsidRPr="00944C89">
        <w:rPr>
          <w:rFonts w:ascii="Arial Narrow" w:hAnsi="Arial Narrow"/>
        </w:rPr>
        <w:t xml:space="preserve"> having in mind the time to draft the meeting minutes from the previous meeting and to organize the next SMC, including the invitations, supporting materials and time for preparation of the participants.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5416C"/>
    <w:multiLevelType w:val="hybridMultilevel"/>
    <w:tmpl w:val="30BE5D2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783D7E41"/>
    <w:multiLevelType w:val="hybridMultilevel"/>
    <w:tmpl w:val="BC92AA6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3651E"/>
    <w:rsid w:val="00000DE5"/>
    <w:rsid w:val="00044604"/>
    <w:rsid w:val="000446C7"/>
    <w:rsid w:val="000457A8"/>
    <w:rsid w:val="000628B3"/>
    <w:rsid w:val="000945AE"/>
    <w:rsid w:val="000A554B"/>
    <w:rsid w:val="000C1A1D"/>
    <w:rsid w:val="000E30AA"/>
    <w:rsid w:val="000E388B"/>
    <w:rsid w:val="000E594E"/>
    <w:rsid w:val="000F5E89"/>
    <w:rsid w:val="001053F2"/>
    <w:rsid w:val="0013651E"/>
    <w:rsid w:val="0015761D"/>
    <w:rsid w:val="00184236"/>
    <w:rsid w:val="001B6FC0"/>
    <w:rsid w:val="001C227D"/>
    <w:rsid w:val="001C61A4"/>
    <w:rsid w:val="0020605E"/>
    <w:rsid w:val="00207603"/>
    <w:rsid w:val="002079A7"/>
    <w:rsid w:val="00242867"/>
    <w:rsid w:val="00246D04"/>
    <w:rsid w:val="00252ABF"/>
    <w:rsid w:val="002A12B9"/>
    <w:rsid w:val="002B61C4"/>
    <w:rsid w:val="002D01AC"/>
    <w:rsid w:val="002D1E11"/>
    <w:rsid w:val="002E537E"/>
    <w:rsid w:val="00327E97"/>
    <w:rsid w:val="003379BC"/>
    <w:rsid w:val="003474A5"/>
    <w:rsid w:val="00356BEA"/>
    <w:rsid w:val="0038620E"/>
    <w:rsid w:val="003A0E50"/>
    <w:rsid w:val="003A7B9E"/>
    <w:rsid w:val="003E4E3C"/>
    <w:rsid w:val="0041200F"/>
    <w:rsid w:val="00473083"/>
    <w:rsid w:val="004A30AA"/>
    <w:rsid w:val="004A757F"/>
    <w:rsid w:val="004B0357"/>
    <w:rsid w:val="004B2514"/>
    <w:rsid w:val="004B6B6D"/>
    <w:rsid w:val="004C0B05"/>
    <w:rsid w:val="004F2A6F"/>
    <w:rsid w:val="004F6C85"/>
    <w:rsid w:val="00500B5A"/>
    <w:rsid w:val="00542A1D"/>
    <w:rsid w:val="00543E38"/>
    <w:rsid w:val="00555729"/>
    <w:rsid w:val="005A4158"/>
    <w:rsid w:val="005A7E6E"/>
    <w:rsid w:val="005B2396"/>
    <w:rsid w:val="005C78C9"/>
    <w:rsid w:val="005D0AB1"/>
    <w:rsid w:val="005D6F5D"/>
    <w:rsid w:val="005E420A"/>
    <w:rsid w:val="005F1AC6"/>
    <w:rsid w:val="006631F0"/>
    <w:rsid w:val="0067590E"/>
    <w:rsid w:val="006834AF"/>
    <w:rsid w:val="006C564D"/>
    <w:rsid w:val="0070788B"/>
    <w:rsid w:val="0072128F"/>
    <w:rsid w:val="00726B92"/>
    <w:rsid w:val="007319ED"/>
    <w:rsid w:val="00734FA5"/>
    <w:rsid w:val="00737DE1"/>
    <w:rsid w:val="007729DF"/>
    <w:rsid w:val="00787702"/>
    <w:rsid w:val="007B5BE6"/>
    <w:rsid w:val="007C189A"/>
    <w:rsid w:val="007C607F"/>
    <w:rsid w:val="007E6A41"/>
    <w:rsid w:val="00802F62"/>
    <w:rsid w:val="00807753"/>
    <w:rsid w:val="0081314D"/>
    <w:rsid w:val="008202DD"/>
    <w:rsid w:val="0082343D"/>
    <w:rsid w:val="00827AB8"/>
    <w:rsid w:val="00852755"/>
    <w:rsid w:val="008570A4"/>
    <w:rsid w:val="008649A7"/>
    <w:rsid w:val="00867B19"/>
    <w:rsid w:val="00882CF6"/>
    <w:rsid w:val="0089668F"/>
    <w:rsid w:val="008B33FD"/>
    <w:rsid w:val="008B69F3"/>
    <w:rsid w:val="008D22A5"/>
    <w:rsid w:val="008D51BA"/>
    <w:rsid w:val="008E4DF1"/>
    <w:rsid w:val="008E5100"/>
    <w:rsid w:val="00940649"/>
    <w:rsid w:val="00944632"/>
    <w:rsid w:val="00944C89"/>
    <w:rsid w:val="00946FF4"/>
    <w:rsid w:val="00980644"/>
    <w:rsid w:val="009A6337"/>
    <w:rsid w:val="009B310A"/>
    <w:rsid w:val="00A174AD"/>
    <w:rsid w:val="00A30FAC"/>
    <w:rsid w:val="00A322FC"/>
    <w:rsid w:val="00A5106A"/>
    <w:rsid w:val="00A62B26"/>
    <w:rsid w:val="00A63798"/>
    <w:rsid w:val="00A81EF4"/>
    <w:rsid w:val="00A840E8"/>
    <w:rsid w:val="00A95D9D"/>
    <w:rsid w:val="00A961FA"/>
    <w:rsid w:val="00AA144E"/>
    <w:rsid w:val="00AB06DA"/>
    <w:rsid w:val="00AC3664"/>
    <w:rsid w:val="00AD164C"/>
    <w:rsid w:val="00AF126D"/>
    <w:rsid w:val="00AF3F51"/>
    <w:rsid w:val="00B12B6D"/>
    <w:rsid w:val="00B2256C"/>
    <w:rsid w:val="00B57705"/>
    <w:rsid w:val="00B63EF7"/>
    <w:rsid w:val="00B8717E"/>
    <w:rsid w:val="00B91513"/>
    <w:rsid w:val="00BD4131"/>
    <w:rsid w:val="00BF0845"/>
    <w:rsid w:val="00BF4273"/>
    <w:rsid w:val="00C10A9B"/>
    <w:rsid w:val="00C120F8"/>
    <w:rsid w:val="00C256F1"/>
    <w:rsid w:val="00C5160B"/>
    <w:rsid w:val="00C53DC9"/>
    <w:rsid w:val="00C559ED"/>
    <w:rsid w:val="00C70BB5"/>
    <w:rsid w:val="00C71477"/>
    <w:rsid w:val="00CA5F77"/>
    <w:rsid w:val="00CD5CEB"/>
    <w:rsid w:val="00CE55A5"/>
    <w:rsid w:val="00CF1394"/>
    <w:rsid w:val="00D15E15"/>
    <w:rsid w:val="00D219F5"/>
    <w:rsid w:val="00D87507"/>
    <w:rsid w:val="00DA679D"/>
    <w:rsid w:val="00DB2E3B"/>
    <w:rsid w:val="00DB719C"/>
    <w:rsid w:val="00DC3DB0"/>
    <w:rsid w:val="00DF0BEB"/>
    <w:rsid w:val="00DF254F"/>
    <w:rsid w:val="00DF3A03"/>
    <w:rsid w:val="00E06C37"/>
    <w:rsid w:val="00E21FA3"/>
    <w:rsid w:val="00E410DC"/>
    <w:rsid w:val="00E61AE7"/>
    <w:rsid w:val="00E67807"/>
    <w:rsid w:val="00E936BE"/>
    <w:rsid w:val="00EB3C18"/>
    <w:rsid w:val="00EC56A9"/>
    <w:rsid w:val="00ED5FEE"/>
    <w:rsid w:val="00EE7E11"/>
    <w:rsid w:val="00F14AA3"/>
    <w:rsid w:val="00F17D5C"/>
    <w:rsid w:val="00F25016"/>
    <w:rsid w:val="00F41237"/>
    <w:rsid w:val="00F473CA"/>
    <w:rsid w:val="00F50D21"/>
    <w:rsid w:val="00F513FF"/>
    <w:rsid w:val="00F608F1"/>
    <w:rsid w:val="00F60D9D"/>
    <w:rsid w:val="00F6383F"/>
    <w:rsid w:val="00F7174C"/>
    <w:rsid w:val="00F743FC"/>
    <w:rsid w:val="00FB5350"/>
    <w:rsid w:val="00FC033D"/>
    <w:rsid w:val="00FC25BA"/>
    <w:rsid w:val="00FE41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2D6C3-BEE5-453A-9C41-B33E353B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651E"/>
    <w:pPr>
      <w:ind w:left="720"/>
      <w:contextualSpacing/>
    </w:pPr>
  </w:style>
  <w:style w:type="paragraph" w:styleId="FootnoteText">
    <w:name w:val="footnote text"/>
    <w:basedOn w:val="Normal"/>
    <w:link w:val="FootnoteTextChar"/>
    <w:uiPriority w:val="99"/>
    <w:semiHidden/>
    <w:unhideWhenUsed/>
    <w:rsid w:val="00A95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D9D"/>
    <w:rPr>
      <w:sz w:val="20"/>
      <w:szCs w:val="20"/>
    </w:rPr>
  </w:style>
  <w:style w:type="character" w:styleId="FootnoteReference">
    <w:name w:val="footnote reference"/>
    <w:basedOn w:val="DefaultParagraphFont"/>
    <w:uiPriority w:val="99"/>
    <w:semiHidden/>
    <w:unhideWhenUsed/>
    <w:rsid w:val="00A95D9D"/>
    <w:rPr>
      <w:vertAlign w:val="superscript"/>
    </w:rPr>
  </w:style>
  <w:style w:type="paragraph" w:styleId="Header">
    <w:name w:val="header"/>
    <w:basedOn w:val="Normal"/>
    <w:link w:val="HeaderChar"/>
    <w:uiPriority w:val="99"/>
    <w:unhideWhenUsed/>
    <w:rsid w:val="00737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DE1"/>
  </w:style>
  <w:style w:type="paragraph" w:styleId="Footer">
    <w:name w:val="footer"/>
    <w:basedOn w:val="Normal"/>
    <w:link w:val="FooterChar"/>
    <w:uiPriority w:val="99"/>
    <w:unhideWhenUsed/>
    <w:rsid w:val="00737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DE1"/>
  </w:style>
  <w:style w:type="paragraph" w:styleId="BalloonText">
    <w:name w:val="Balloon Text"/>
    <w:basedOn w:val="Normal"/>
    <w:link w:val="BalloonTextChar"/>
    <w:uiPriority w:val="99"/>
    <w:semiHidden/>
    <w:unhideWhenUsed/>
    <w:rsid w:val="00F25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016"/>
    <w:rPr>
      <w:rFonts w:ascii="Tahoma" w:hAnsi="Tahoma" w:cs="Tahoma"/>
      <w:sz w:val="16"/>
      <w:szCs w:val="16"/>
    </w:rPr>
  </w:style>
  <w:style w:type="character" w:styleId="CommentReference">
    <w:name w:val="annotation reference"/>
    <w:basedOn w:val="DefaultParagraphFont"/>
    <w:uiPriority w:val="99"/>
    <w:semiHidden/>
    <w:unhideWhenUsed/>
    <w:rsid w:val="00356BEA"/>
    <w:rPr>
      <w:sz w:val="16"/>
      <w:szCs w:val="16"/>
    </w:rPr>
  </w:style>
  <w:style w:type="paragraph" w:styleId="CommentText">
    <w:name w:val="annotation text"/>
    <w:basedOn w:val="Normal"/>
    <w:link w:val="CommentTextChar"/>
    <w:uiPriority w:val="99"/>
    <w:semiHidden/>
    <w:unhideWhenUsed/>
    <w:rsid w:val="00356BEA"/>
    <w:pPr>
      <w:spacing w:line="240" w:lineRule="auto"/>
    </w:pPr>
    <w:rPr>
      <w:sz w:val="20"/>
      <w:szCs w:val="20"/>
    </w:rPr>
  </w:style>
  <w:style w:type="character" w:customStyle="1" w:styleId="CommentTextChar">
    <w:name w:val="Comment Text Char"/>
    <w:basedOn w:val="DefaultParagraphFont"/>
    <w:link w:val="CommentText"/>
    <w:uiPriority w:val="99"/>
    <w:semiHidden/>
    <w:rsid w:val="00356BEA"/>
    <w:rPr>
      <w:sz w:val="20"/>
      <w:szCs w:val="20"/>
    </w:rPr>
  </w:style>
  <w:style w:type="paragraph" w:styleId="CommentSubject">
    <w:name w:val="annotation subject"/>
    <w:basedOn w:val="CommentText"/>
    <w:next w:val="CommentText"/>
    <w:link w:val="CommentSubjectChar"/>
    <w:uiPriority w:val="99"/>
    <w:semiHidden/>
    <w:unhideWhenUsed/>
    <w:rsid w:val="00356BEA"/>
    <w:rPr>
      <w:b/>
      <w:bCs/>
    </w:rPr>
  </w:style>
  <w:style w:type="character" w:customStyle="1" w:styleId="CommentSubjectChar">
    <w:name w:val="Comment Subject Char"/>
    <w:basedOn w:val="CommentTextChar"/>
    <w:link w:val="CommentSubject"/>
    <w:uiPriority w:val="99"/>
    <w:semiHidden/>
    <w:rsid w:val="00356B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811987">
      <w:bodyDiv w:val="1"/>
      <w:marLeft w:val="0"/>
      <w:marRight w:val="0"/>
      <w:marTop w:val="0"/>
      <w:marBottom w:val="0"/>
      <w:divBdr>
        <w:top w:val="none" w:sz="0" w:space="0" w:color="auto"/>
        <w:left w:val="none" w:sz="0" w:space="0" w:color="auto"/>
        <w:bottom w:val="none" w:sz="0" w:space="0" w:color="auto"/>
        <w:right w:val="none" w:sz="0" w:space="0" w:color="auto"/>
      </w:divBdr>
    </w:div>
    <w:div w:id="152301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805A-8166-4BBB-8548-69073614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Evgenija Kirkovski</dc:creator>
  <cp:lastModifiedBy>Dana Petreska</cp:lastModifiedBy>
  <cp:revision>2</cp:revision>
  <cp:lastPrinted>2020-01-24T14:30:00Z</cp:lastPrinted>
  <dcterms:created xsi:type="dcterms:W3CDTF">2022-01-25T09:01:00Z</dcterms:created>
  <dcterms:modified xsi:type="dcterms:W3CDTF">2022-01-25T09:01:00Z</dcterms:modified>
</cp:coreProperties>
</file>